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8AE3F1" w14:textId="77777777" w:rsidR="006D2013" w:rsidRPr="00451D46" w:rsidRDefault="006D2013" w:rsidP="006D2013">
      <w:pPr>
        <w:pStyle w:val="Heading1"/>
        <w:numPr>
          <w:ilvl w:val="0"/>
          <w:numId w:val="0"/>
        </w:numPr>
        <w:tabs>
          <w:tab w:val="right" w:pos="10530"/>
        </w:tabs>
        <w:ind w:right="-18"/>
        <w:rPr>
          <w:rFonts w:ascii="Arial" w:hAnsi="Arial"/>
        </w:rPr>
      </w:pPr>
      <w:bookmarkStart w:id="0" w:name="_Toc483230052"/>
      <w:bookmarkStart w:id="1" w:name="_GoBack"/>
      <w:bookmarkEnd w:id="1"/>
      <w:r w:rsidRPr="00451D46">
        <w:rPr>
          <w:rFonts w:ascii="Arial" w:hAnsi="Arial"/>
          <w:sz w:val="24"/>
        </w:rPr>
        <w:t>ATTACHMENT X:  SECURITY REQUIREMENTS FOR VENDOR STAFF AND CONTRACTORS</w:t>
      </w:r>
      <w:bookmarkEnd w:id="0"/>
    </w:p>
    <w:p w14:paraId="4B57805F" w14:textId="77777777" w:rsidR="006D2013" w:rsidRPr="00451D46" w:rsidRDefault="006D2013" w:rsidP="006D2013">
      <w:pPr>
        <w:jc w:val="center"/>
        <w:rPr>
          <w:b/>
          <w:sz w:val="32"/>
          <w:szCs w:val="32"/>
        </w:rPr>
      </w:pPr>
      <w:r w:rsidRPr="00451D46">
        <w:rPr>
          <w:b/>
          <w:bCs/>
          <w:noProof/>
        </w:rPr>
        <w:drawing>
          <wp:inline distT="0" distB="0" distL="0" distR="0" wp14:anchorId="3A713C97" wp14:editId="4B26F3AF">
            <wp:extent cx="3295291" cy="785745"/>
            <wp:effectExtent l="0" t="0" r="635" b="0"/>
            <wp:docPr id="4" name="Picture 4" descr="NC DOR ColorLogoType+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 DOR ColorLogoType+Nam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55429" cy="800085"/>
                    </a:xfrm>
                    <a:prstGeom prst="rect">
                      <a:avLst/>
                    </a:prstGeom>
                    <a:noFill/>
                    <a:ln>
                      <a:noFill/>
                    </a:ln>
                  </pic:spPr>
                </pic:pic>
              </a:graphicData>
            </a:graphic>
          </wp:inline>
        </w:drawing>
      </w:r>
    </w:p>
    <w:p w14:paraId="76E4A4F5" w14:textId="77777777" w:rsidR="006D2013" w:rsidRPr="00451D46" w:rsidRDefault="006D2013" w:rsidP="006D2013">
      <w:pPr>
        <w:jc w:val="center"/>
        <w:rPr>
          <w:rFonts w:ascii="Arial" w:hAnsi="Arial" w:cs="Arial"/>
          <w:b/>
          <w:color w:val="auto"/>
          <w:sz w:val="28"/>
        </w:rPr>
      </w:pPr>
      <w:r w:rsidRPr="00451D46">
        <w:rPr>
          <w:rFonts w:ascii="Arial" w:hAnsi="Arial" w:cs="Arial"/>
          <w:b/>
          <w:color w:val="auto"/>
          <w:sz w:val="28"/>
        </w:rPr>
        <w:t>Security Requirements for Vendor Staff and Contractors</w:t>
      </w:r>
    </w:p>
    <w:p w14:paraId="60693BE2" w14:textId="6CA1E6BD" w:rsidR="00F70558" w:rsidRPr="00451D46" w:rsidRDefault="00F70558" w:rsidP="006D2013">
      <w:pPr>
        <w:spacing w:after="240"/>
        <w:rPr>
          <w:rFonts w:ascii="Arial" w:hAnsi="Arial" w:cs="Arial"/>
          <w:color w:val="auto"/>
          <w:sz w:val="20"/>
        </w:rPr>
      </w:pPr>
      <w:r w:rsidRPr="00451D46">
        <w:rPr>
          <w:rFonts w:ascii="Arial" w:hAnsi="Arial" w:cs="Arial"/>
          <w:color w:val="auto"/>
          <w:sz w:val="20"/>
        </w:rPr>
        <w:t>All Vendor provided and Contract Staff (e.g. seasonal temps) must fulfill required security checks prior to beginning work at NCDOR.  Required security checks vary based on system and information access level, an</w:t>
      </w:r>
      <w:r w:rsidR="009E3A8C" w:rsidRPr="00451D46">
        <w:rPr>
          <w:rFonts w:ascii="Arial" w:hAnsi="Arial" w:cs="Arial"/>
          <w:color w:val="auto"/>
          <w:sz w:val="20"/>
        </w:rPr>
        <w:t>d generally follow the principle</w:t>
      </w:r>
      <w:r w:rsidRPr="00451D46">
        <w:rPr>
          <w:rFonts w:ascii="Arial" w:hAnsi="Arial" w:cs="Arial"/>
          <w:color w:val="auto"/>
          <w:sz w:val="20"/>
        </w:rPr>
        <w:t xml:space="preserve"> of least privilege.</w:t>
      </w:r>
      <w:r w:rsidR="009E3A8C" w:rsidRPr="00451D46">
        <w:rPr>
          <w:rFonts w:ascii="Arial" w:hAnsi="Arial" w:cs="Arial"/>
          <w:color w:val="auto"/>
          <w:sz w:val="20"/>
        </w:rPr>
        <w:t xml:space="preserve">  Attachment 1.A – Vendor and Contractor Security Requirements Matrix provides a guide for the most common levels of access and the corresponding security requirements for each level.  NCDOR IT Security will advise and approve access levels not represented on Attachment 1.A.</w:t>
      </w:r>
    </w:p>
    <w:p w14:paraId="0E8B7A55" w14:textId="77777777" w:rsidR="00451D46" w:rsidRDefault="001D1EE2" w:rsidP="006D2013">
      <w:pPr>
        <w:spacing w:after="240"/>
        <w:rPr>
          <w:rFonts w:ascii="Arial" w:hAnsi="Arial" w:cs="Arial"/>
          <w:color w:val="auto"/>
          <w:sz w:val="20"/>
        </w:rPr>
      </w:pPr>
      <w:r w:rsidRPr="00451D46">
        <w:rPr>
          <w:rFonts w:ascii="Arial" w:hAnsi="Arial" w:cs="Arial"/>
          <w:color w:val="auto"/>
          <w:sz w:val="20"/>
        </w:rPr>
        <w:t xml:space="preserve">Required documentation must be submitted prior to beginning work at NCDOR.  The documentation should be submitted as determined by the NCDOR Contract Manager.  </w:t>
      </w:r>
    </w:p>
    <w:p w14:paraId="1A1DDF97" w14:textId="6761D302" w:rsidR="001D1EE2" w:rsidRPr="00451D46" w:rsidRDefault="001D1EE2" w:rsidP="006D2013">
      <w:pPr>
        <w:spacing w:after="240"/>
        <w:rPr>
          <w:rFonts w:ascii="Arial" w:hAnsi="Arial" w:cs="Arial"/>
          <w:color w:val="auto"/>
          <w:sz w:val="20"/>
        </w:rPr>
      </w:pPr>
      <w:r w:rsidRPr="00451D46">
        <w:rPr>
          <w:rFonts w:ascii="Arial" w:hAnsi="Arial" w:cs="Arial"/>
          <w:color w:val="auto"/>
          <w:sz w:val="20"/>
        </w:rPr>
        <w:t>G</w:t>
      </w:r>
      <w:r w:rsidR="00451D46">
        <w:rPr>
          <w:rFonts w:ascii="Arial" w:hAnsi="Arial" w:cs="Arial"/>
          <w:color w:val="auto"/>
          <w:sz w:val="20"/>
        </w:rPr>
        <w:t>uidelines include the following:</w:t>
      </w:r>
    </w:p>
    <w:p w14:paraId="44FF3AF1" w14:textId="4AE3C015" w:rsidR="001D1EE2" w:rsidRPr="00451D46" w:rsidRDefault="001D1EE2" w:rsidP="00451D46">
      <w:pPr>
        <w:pStyle w:val="ListParagraph"/>
        <w:numPr>
          <w:ilvl w:val="0"/>
          <w:numId w:val="5"/>
        </w:numPr>
        <w:spacing w:after="240"/>
        <w:rPr>
          <w:rFonts w:ascii="Arial" w:hAnsi="Arial" w:cs="Arial"/>
          <w:color w:val="auto"/>
          <w:sz w:val="20"/>
        </w:rPr>
      </w:pPr>
      <w:r w:rsidRPr="00451D46">
        <w:rPr>
          <w:rFonts w:ascii="Arial" w:hAnsi="Arial" w:cs="Arial"/>
          <w:color w:val="auto"/>
          <w:sz w:val="20"/>
        </w:rPr>
        <w:t>Attachment 1.A – Vendor and Contractor Security Requirements Matrix</w:t>
      </w:r>
    </w:p>
    <w:p w14:paraId="4EC5C97F" w14:textId="051E3BAF" w:rsidR="001D1EE2" w:rsidRPr="00451D46" w:rsidRDefault="001D1EE2" w:rsidP="00451D46">
      <w:pPr>
        <w:pStyle w:val="ListParagraph"/>
        <w:numPr>
          <w:ilvl w:val="0"/>
          <w:numId w:val="5"/>
        </w:numPr>
        <w:spacing w:after="240"/>
        <w:rPr>
          <w:rFonts w:ascii="Arial" w:hAnsi="Arial" w:cs="Arial"/>
          <w:color w:val="auto"/>
          <w:sz w:val="20"/>
        </w:rPr>
      </w:pPr>
      <w:r w:rsidRPr="00451D46">
        <w:rPr>
          <w:rFonts w:ascii="Arial" w:hAnsi="Arial" w:cs="Arial"/>
          <w:color w:val="auto"/>
          <w:sz w:val="20"/>
        </w:rPr>
        <w:t>IT Security review and approval if special access is required</w:t>
      </w:r>
    </w:p>
    <w:p w14:paraId="277DEA33" w14:textId="04069A58" w:rsidR="001D1EE2" w:rsidRPr="00451D46" w:rsidRDefault="001D1EE2" w:rsidP="00451D46">
      <w:pPr>
        <w:pStyle w:val="ListParagraph"/>
        <w:numPr>
          <w:ilvl w:val="0"/>
          <w:numId w:val="5"/>
        </w:numPr>
        <w:spacing w:after="240"/>
        <w:rPr>
          <w:rFonts w:ascii="Arial" w:hAnsi="Arial" w:cs="Arial"/>
          <w:color w:val="auto"/>
          <w:sz w:val="20"/>
        </w:rPr>
      </w:pPr>
      <w:r w:rsidRPr="00451D46">
        <w:rPr>
          <w:rFonts w:ascii="Arial" w:hAnsi="Arial" w:cs="Arial"/>
          <w:color w:val="auto"/>
          <w:sz w:val="20"/>
        </w:rPr>
        <w:t>As defined in the Requirements Definitions below</w:t>
      </w:r>
    </w:p>
    <w:p w14:paraId="47CB24C2" w14:textId="77777777" w:rsidR="00826E1D" w:rsidRPr="00451D46" w:rsidRDefault="00A631E9" w:rsidP="006D2013">
      <w:pPr>
        <w:spacing w:after="240"/>
        <w:rPr>
          <w:rFonts w:ascii="Arial" w:hAnsi="Arial" w:cs="Arial"/>
          <w:color w:val="auto"/>
          <w:sz w:val="20"/>
        </w:rPr>
      </w:pPr>
      <w:r w:rsidRPr="00451D46">
        <w:rPr>
          <w:rFonts w:ascii="Arial" w:hAnsi="Arial" w:cs="Arial"/>
          <w:color w:val="auto"/>
          <w:sz w:val="20"/>
        </w:rPr>
        <w:t>Requirements</w:t>
      </w:r>
      <w:r w:rsidR="00826E1D" w:rsidRPr="00451D46">
        <w:rPr>
          <w:rFonts w:ascii="Arial" w:hAnsi="Arial" w:cs="Arial"/>
          <w:color w:val="auto"/>
          <w:sz w:val="20"/>
        </w:rPr>
        <w:t xml:space="preserve"> Definitions:</w:t>
      </w:r>
    </w:p>
    <w:p w14:paraId="574E148C" w14:textId="23CCDD99" w:rsidR="00640F67" w:rsidRPr="00451D46" w:rsidRDefault="00640F67" w:rsidP="0039026A">
      <w:pPr>
        <w:numPr>
          <w:ilvl w:val="0"/>
          <w:numId w:val="2"/>
        </w:numPr>
        <w:rPr>
          <w:rFonts w:ascii="Arial" w:hAnsi="Arial" w:cs="Arial"/>
          <w:color w:val="auto"/>
          <w:sz w:val="20"/>
        </w:rPr>
      </w:pPr>
      <w:r w:rsidRPr="00451D46">
        <w:rPr>
          <w:rFonts w:ascii="Arial" w:hAnsi="Arial" w:cs="Arial"/>
          <w:b/>
          <w:color w:val="auto"/>
          <w:sz w:val="20"/>
        </w:rPr>
        <w:t>Nondisclosure Agreement:</w:t>
      </w:r>
      <w:r w:rsidRPr="00451D46">
        <w:rPr>
          <w:rFonts w:ascii="Arial" w:hAnsi="Arial" w:cs="Arial"/>
          <w:color w:val="auto"/>
          <w:sz w:val="20"/>
        </w:rPr>
        <w:t xml:space="preserve">  </w:t>
      </w:r>
      <w:r w:rsidR="00011D39" w:rsidRPr="00451D46">
        <w:rPr>
          <w:rFonts w:ascii="Arial" w:hAnsi="Arial" w:cs="Arial"/>
          <w:color w:val="auto"/>
          <w:sz w:val="20"/>
        </w:rPr>
        <w:t>Any</w:t>
      </w:r>
      <w:r w:rsidR="0039026A" w:rsidRPr="00451D46">
        <w:rPr>
          <w:rFonts w:ascii="Arial" w:hAnsi="Arial" w:cs="Arial"/>
          <w:color w:val="auto"/>
          <w:sz w:val="20"/>
        </w:rPr>
        <w:t xml:space="preserve"> staff performing any work under this contract</w:t>
      </w:r>
      <w:r w:rsidRPr="00451D46">
        <w:rPr>
          <w:rFonts w:ascii="Arial" w:hAnsi="Arial" w:cs="Arial"/>
          <w:color w:val="auto"/>
          <w:sz w:val="20"/>
        </w:rPr>
        <w:t xml:space="preserve"> must sign a</w:t>
      </w:r>
      <w:r w:rsidR="00F72710" w:rsidRPr="00451D46">
        <w:rPr>
          <w:rFonts w:ascii="Arial" w:hAnsi="Arial" w:cs="Arial"/>
          <w:color w:val="auto"/>
          <w:sz w:val="20"/>
        </w:rPr>
        <w:t xml:space="preserve"> NCDOR</w:t>
      </w:r>
      <w:r w:rsidRPr="00451D46">
        <w:rPr>
          <w:rFonts w:ascii="Arial" w:hAnsi="Arial" w:cs="Arial"/>
          <w:color w:val="auto"/>
          <w:sz w:val="20"/>
        </w:rPr>
        <w:t xml:space="preserve"> non-disclosure agreement (NDA)</w:t>
      </w:r>
      <w:r w:rsidR="00011D39" w:rsidRPr="00451D46">
        <w:rPr>
          <w:rFonts w:ascii="Arial" w:hAnsi="Arial" w:cs="Arial"/>
          <w:color w:val="auto"/>
          <w:sz w:val="20"/>
        </w:rPr>
        <w:t xml:space="preserve"> </w:t>
      </w:r>
      <w:r w:rsidRPr="00451D46">
        <w:rPr>
          <w:rFonts w:ascii="Arial" w:hAnsi="Arial" w:cs="Arial"/>
          <w:color w:val="auto"/>
          <w:sz w:val="20"/>
        </w:rPr>
        <w:t xml:space="preserve">agreeing </w:t>
      </w:r>
      <w:r w:rsidR="002823A3" w:rsidRPr="00451D46">
        <w:rPr>
          <w:rFonts w:ascii="Arial" w:hAnsi="Arial" w:cs="Arial"/>
          <w:color w:val="auto"/>
          <w:sz w:val="20"/>
        </w:rPr>
        <w:t>to maintain</w:t>
      </w:r>
      <w:r w:rsidRPr="00451D46">
        <w:rPr>
          <w:rFonts w:ascii="Arial" w:hAnsi="Arial" w:cs="Arial"/>
          <w:color w:val="auto"/>
          <w:sz w:val="20"/>
        </w:rPr>
        <w:t xml:space="preserve"> the </w:t>
      </w:r>
      <w:r w:rsidR="002823A3" w:rsidRPr="00451D46">
        <w:rPr>
          <w:rFonts w:ascii="Arial" w:hAnsi="Arial" w:cs="Arial"/>
          <w:color w:val="auto"/>
          <w:sz w:val="20"/>
        </w:rPr>
        <w:t>confidentiality</w:t>
      </w:r>
      <w:r w:rsidR="00DB2D44" w:rsidRPr="00451D46">
        <w:rPr>
          <w:rFonts w:ascii="Arial" w:hAnsi="Arial" w:cs="Arial"/>
          <w:color w:val="auto"/>
          <w:sz w:val="20"/>
        </w:rPr>
        <w:t xml:space="preserve"> of any</w:t>
      </w:r>
      <w:r w:rsidRPr="00451D46">
        <w:rPr>
          <w:rFonts w:ascii="Arial" w:hAnsi="Arial" w:cs="Arial"/>
          <w:color w:val="auto"/>
          <w:sz w:val="20"/>
        </w:rPr>
        <w:t xml:space="preserve"> NCDOR</w:t>
      </w:r>
      <w:r w:rsidR="002823A3" w:rsidRPr="00451D46">
        <w:rPr>
          <w:rFonts w:ascii="Arial" w:hAnsi="Arial" w:cs="Arial"/>
          <w:color w:val="auto"/>
          <w:sz w:val="20"/>
        </w:rPr>
        <w:t xml:space="preserve"> data to which the Vendor Staff and/or Contractor may have access.</w:t>
      </w:r>
    </w:p>
    <w:p w14:paraId="350ED7A2" w14:textId="1EDF776E" w:rsidR="00EA3D78" w:rsidRPr="00451D46" w:rsidRDefault="00EA3D78" w:rsidP="00EA3D78">
      <w:pPr>
        <w:pStyle w:val="ListParagraph"/>
        <w:numPr>
          <w:ilvl w:val="0"/>
          <w:numId w:val="2"/>
        </w:numPr>
        <w:rPr>
          <w:rFonts w:ascii="Arial" w:hAnsi="Arial" w:cs="Arial"/>
          <w:color w:val="auto"/>
          <w:sz w:val="20"/>
        </w:rPr>
      </w:pPr>
      <w:r w:rsidRPr="00451D46">
        <w:rPr>
          <w:rFonts w:ascii="Arial" w:hAnsi="Arial" w:cs="Arial"/>
          <w:b/>
          <w:color w:val="auto"/>
          <w:sz w:val="20"/>
        </w:rPr>
        <w:t xml:space="preserve">Criminal Background Checks:  </w:t>
      </w:r>
      <w:r w:rsidRPr="00451D46">
        <w:rPr>
          <w:rFonts w:ascii="Arial" w:hAnsi="Arial" w:cs="Arial"/>
          <w:color w:val="auto"/>
          <w:sz w:val="20"/>
        </w:rPr>
        <w:t xml:space="preserve">Applicable staff must submit to and successfully pass a criminal background check to be conducted by NCDOR for anyone who will be receiving or who will have access to </w:t>
      </w:r>
      <w:r w:rsidR="00DB2D44" w:rsidRPr="00451D46">
        <w:rPr>
          <w:rFonts w:ascii="Arial" w:hAnsi="Arial" w:cs="Arial"/>
          <w:color w:val="auto"/>
          <w:sz w:val="20"/>
        </w:rPr>
        <w:t>NCDOR Data</w:t>
      </w:r>
      <w:r w:rsidRPr="00451D46">
        <w:rPr>
          <w:rFonts w:ascii="Arial" w:hAnsi="Arial" w:cs="Arial"/>
          <w:color w:val="auto"/>
          <w:sz w:val="20"/>
        </w:rPr>
        <w:t>.</w:t>
      </w:r>
      <w:r w:rsidR="002A06F7" w:rsidRPr="00451D46">
        <w:rPr>
          <w:rFonts w:ascii="Arial" w:hAnsi="Arial" w:cs="Arial"/>
          <w:color w:val="auto"/>
          <w:sz w:val="20"/>
        </w:rPr>
        <w:t xml:space="preserve"> These checks will be repeated every 5 years.</w:t>
      </w:r>
      <w:r w:rsidRPr="00451D46">
        <w:rPr>
          <w:rFonts w:ascii="Arial" w:hAnsi="Arial" w:cs="Arial"/>
          <w:color w:val="auto"/>
          <w:sz w:val="20"/>
        </w:rPr>
        <w:t xml:space="preserve"> It does not matter if the access is to paper or electronic NCDOR Data. NCDOR determines the conditions for passing background checks.</w:t>
      </w:r>
    </w:p>
    <w:p w14:paraId="11664D75" w14:textId="62B8C181" w:rsidR="00D62CA5" w:rsidRPr="00451D46" w:rsidRDefault="006D2013" w:rsidP="002A06F7">
      <w:pPr>
        <w:numPr>
          <w:ilvl w:val="0"/>
          <w:numId w:val="2"/>
        </w:numPr>
        <w:rPr>
          <w:rFonts w:ascii="Arial" w:hAnsi="Arial" w:cs="Arial"/>
          <w:b/>
          <w:color w:val="auto"/>
          <w:sz w:val="20"/>
        </w:rPr>
      </w:pPr>
      <w:r w:rsidRPr="00451D46">
        <w:rPr>
          <w:rFonts w:ascii="Arial" w:hAnsi="Arial" w:cs="Arial"/>
          <w:b/>
          <w:color w:val="auto"/>
          <w:sz w:val="20"/>
        </w:rPr>
        <w:t xml:space="preserve">Fingerprinting: </w:t>
      </w:r>
      <w:r w:rsidR="002823A3" w:rsidRPr="00451D46">
        <w:rPr>
          <w:rFonts w:ascii="Arial" w:hAnsi="Arial" w:cs="Arial"/>
          <w:color w:val="auto"/>
          <w:sz w:val="20"/>
        </w:rPr>
        <w:t>Completion of Federal Bureau of Investigation (FBI) fingerprinting, which is conducted to identify pos</w:t>
      </w:r>
      <w:r w:rsidR="007E6B73" w:rsidRPr="00451D46">
        <w:rPr>
          <w:rFonts w:ascii="Arial" w:hAnsi="Arial" w:cs="Arial"/>
          <w:color w:val="auto"/>
          <w:sz w:val="20"/>
        </w:rPr>
        <w:t>sible suitability issues, is</w:t>
      </w:r>
      <w:r w:rsidR="002823A3" w:rsidRPr="00451D46">
        <w:rPr>
          <w:rFonts w:ascii="Arial" w:hAnsi="Arial" w:cs="Arial"/>
          <w:color w:val="auto"/>
          <w:sz w:val="20"/>
        </w:rPr>
        <w:t xml:space="preserve"> required.</w:t>
      </w:r>
      <w:r w:rsidR="002A06F7" w:rsidRPr="00451D46">
        <w:rPr>
          <w:rFonts w:ascii="Arial" w:hAnsi="Arial" w:cs="Arial"/>
          <w:color w:val="auto"/>
          <w:sz w:val="20"/>
        </w:rPr>
        <w:t xml:space="preserve"> These checks will be repeated every 5 years.</w:t>
      </w:r>
      <w:r w:rsidR="006154ED" w:rsidRPr="00451D46">
        <w:rPr>
          <w:rFonts w:ascii="Arial" w:hAnsi="Arial" w:cs="Arial"/>
          <w:color w:val="auto"/>
          <w:sz w:val="20"/>
        </w:rPr>
        <w:t xml:space="preserve"> Suitability issues are determined by NCDOR.</w:t>
      </w:r>
    </w:p>
    <w:p w14:paraId="1CB64CBC" w14:textId="5A53D3C4" w:rsidR="00D62CA5" w:rsidRPr="00451D46" w:rsidRDefault="006D2013" w:rsidP="0039026A">
      <w:pPr>
        <w:pStyle w:val="ListParagraph"/>
        <w:numPr>
          <w:ilvl w:val="0"/>
          <w:numId w:val="2"/>
        </w:numPr>
        <w:rPr>
          <w:rFonts w:ascii="Arial" w:hAnsi="Arial" w:cs="Arial"/>
          <w:color w:val="auto"/>
          <w:sz w:val="20"/>
        </w:rPr>
      </w:pPr>
      <w:r w:rsidRPr="00451D46">
        <w:rPr>
          <w:rFonts w:ascii="Arial" w:hAnsi="Arial" w:cs="Arial"/>
          <w:b/>
          <w:color w:val="auto"/>
          <w:sz w:val="20"/>
        </w:rPr>
        <w:t>Security Awareness Training:</w:t>
      </w:r>
      <w:r w:rsidRPr="00451D46">
        <w:rPr>
          <w:rFonts w:ascii="Arial" w:hAnsi="Arial" w:cs="Arial"/>
          <w:color w:val="auto"/>
          <w:sz w:val="20"/>
        </w:rPr>
        <w:t xml:space="preserve">  </w:t>
      </w:r>
      <w:r w:rsidR="002872FA" w:rsidRPr="00451D46">
        <w:rPr>
          <w:rFonts w:ascii="Arial" w:hAnsi="Arial" w:cs="Arial"/>
          <w:color w:val="auto"/>
          <w:sz w:val="20"/>
        </w:rPr>
        <w:t>NCDOR Security Awareness Training (DORSAT) is required</w:t>
      </w:r>
      <w:r w:rsidR="002A06F7" w:rsidRPr="00451D46">
        <w:rPr>
          <w:rFonts w:ascii="Arial" w:hAnsi="Arial" w:cs="Arial"/>
          <w:color w:val="auto"/>
          <w:sz w:val="20"/>
        </w:rPr>
        <w:t xml:space="preserve"> annually</w:t>
      </w:r>
      <w:r w:rsidR="002872FA" w:rsidRPr="00451D46">
        <w:rPr>
          <w:rFonts w:ascii="Arial" w:hAnsi="Arial" w:cs="Arial"/>
          <w:color w:val="auto"/>
          <w:sz w:val="20"/>
        </w:rPr>
        <w:t>. In order to receive NCDOR training, a valid business email is required for each person who is in scope and who is performing work for this contract on behalf of the Vendor</w:t>
      </w:r>
      <w:r w:rsidR="00E95561" w:rsidRPr="00451D46">
        <w:rPr>
          <w:rFonts w:ascii="Arial" w:hAnsi="Arial" w:cs="Arial"/>
          <w:color w:val="auto"/>
          <w:sz w:val="20"/>
        </w:rPr>
        <w:t xml:space="preserve"> and/or Contractor</w:t>
      </w:r>
      <w:r w:rsidR="002872FA" w:rsidRPr="00451D46">
        <w:rPr>
          <w:rFonts w:ascii="Arial" w:hAnsi="Arial" w:cs="Arial"/>
          <w:color w:val="auto"/>
          <w:sz w:val="20"/>
        </w:rPr>
        <w:t>.</w:t>
      </w:r>
      <w:r w:rsidR="00216788" w:rsidRPr="00451D46">
        <w:rPr>
          <w:rFonts w:ascii="Arial" w:hAnsi="Arial" w:cs="Arial"/>
          <w:color w:val="auto"/>
          <w:sz w:val="20"/>
        </w:rPr>
        <w:t xml:space="preserve"> </w:t>
      </w:r>
    </w:p>
    <w:p w14:paraId="18AA89DD" w14:textId="4EFC7E52" w:rsidR="006D2013" w:rsidRPr="00451D46" w:rsidRDefault="00484457" w:rsidP="0039026A">
      <w:pPr>
        <w:numPr>
          <w:ilvl w:val="0"/>
          <w:numId w:val="2"/>
        </w:numPr>
        <w:spacing w:before="240" w:after="0"/>
        <w:rPr>
          <w:rFonts w:ascii="Arial" w:hAnsi="Arial" w:cs="Arial"/>
          <w:b/>
          <w:color w:val="auto"/>
          <w:sz w:val="20"/>
        </w:rPr>
      </w:pPr>
      <w:r w:rsidRPr="00451D46">
        <w:rPr>
          <w:rFonts w:ascii="Arial" w:hAnsi="Arial" w:cs="Arial"/>
          <w:b/>
          <w:color w:val="auto"/>
          <w:sz w:val="20"/>
        </w:rPr>
        <w:t>I</w:t>
      </w:r>
      <w:r w:rsidR="00B553CB" w:rsidRPr="00451D46">
        <w:rPr>
          <w:rFonts w:ascii="Arial" w:hAnsi="Arial" w:cs="Arial"/>
          <w:b/>
          <w:color w:val="auto"/>
          <w:sz w:val="20"/>
        </w:rPr>
        <w:t>.</w:t>
      </w:r>
      <w:r w:rsidRPr="00451D46">
        <w:rPr>
          <w:rFonts w:ascii="Arial" w:hAnsi="Arial" w:cs="Arial"/>
          <w:b/>
          <w:color w:val="auto"/>
          <w:sz w:val="20"/>
        </w:rPr>
        <w:t>T</w:t>
      </w:r>
      <w:r w:rsidR="00B553CB" w:rsidRPr="00451D46">
        <w:rPr>
          <w:rFonts w:ascii="Arial" w:hAnsi="Arial" w:cs="Arial"/>
          <w:b/>
          <w:color w:val="auto"/>
          <w:sz w:val="20"/>
        </w:rPr>
        <w:t>.</w:t>
      </w:r>
      <w:r w:rsidRPr="00451D46">
        <w:rPr>
          <w:rFonts w:ascii="Arial" w:hAnsi="Arial" w:cs="Arial"/>
          <w:b/>
          <w:color w:val="auto"/>
          <w:sz w:val="20"/>
        </w:rPr>
        <w:t xml:space="preserve"> </w:t>
      </w:r>
      <w:r w:rsidR="006D2013" w:rsidRPr="00451D46">
        <w:rPr>
          <w:rFonts w:ascii="Arial" w:hAnsi="Arial" w:cs="Arial"/>
          <w:b/>
          <w:color w:val="auto"/>
          <w:sz w:val="20"/>
        </w:rPr>
        <w:t>Role-Based Security Training:</w:t>
      </w:r>
      <w:r w:rsidR="006D2013" w:rsidRPr="00451D46">
        <w:rPr>
          <w:rFonts w:ascii="Arial" w:hAnsi="Arial" w:cs="Arial"/>
          <w:color w:val="auto"/>
          <w:sz w:val="20"/>
        </w:rPr>
        <w:t xml:space="preserve"> </w:t>
      </w:r>
      <w:r w:rsidR="00F56F31" w:rsidRPr="00451D46">
        <w:rPr>
          <w:rFonts w:ascii="Arial" w:hAnsi="Arial" w:cs="Arial"/>
          <w:color w:val="auto"/>
          <w:sz w:val="20"/>
        </w:rPr>
        <w:t>The Vendor</w:t>
      </w:r>
      <w:r w:rsidR="00E95561" w:rsidRPr="00451D46">
        <w:rPr>
          <w:rFonts w:ascii="Arial" w:hAnsi="Arial" w:cs="Arial"/>
          <w:color w:val="auto"/>
          <w:sz w:val="20"/>
        </w:rPr>
        <w:t xml:space="preserve"> and/or Contractor</w:t>
      </w:r>
      <w:r w:rsidR="00F56F31" w:rsidRPr="00451D46">
        <w:rPr>
          <w:rFonts w:ascii="Arial" w:hAnsi="Arial" w:cs="Arial"/>
          <w:color w:val="auto"/>
          <w:sz w:val="20"/>
        </w:rPr>
        <w:t>, for all applicable staff, provides</w:t>
      </w:r>
      <w:r w:rsidR="00AA7DDF" w:rsidRPr="00451D46">
        <w:rPr>
          <w:rFonts w:ascii="Arial" w:hAnsi="Arial" w:cs="Arial"/>
          <w:color w:val="auto"/>
          <w:sz w:val="20"/>
        </w:rPr>
        <w:t xml:space="preserve"> annual</w:t>
      </w:r>
      <w:r w:rsidR="00683D10" w:rsidRPr="00451D46">
        <w:rPr>
          <w:rFonts w:ascii="Arial" w:hAnsi="Arial" w:cs="Arial"/>
          <w:color w:val="auto"/>
          <w:sz w:val="20"/>
        </w:rPr>
        <w:t xml:space="preserve"> I.T.</w:t>
      </w:r>
      <w:r w:rsidR="00F56F31" w:rsidRPr="00451D46">
        <w:rPr>
          <w:rFonts w:ascii="Arial" w:hAnsi="Arial" w:cs="Arial"/>
          <w:color w:val="auto"/>
          <w:sz w:val="20"/>
        </w:rPr>
        <w:t xml:space="preserve"> role-based security training</w:t>
      </w:r>
      <w:r w:rsidR="007E4449" w:rsidRPr="00451D46">
        <w:rPr>
          <w:rFonts w:ascii="Arial" w:hAnsi="Arial" w:cs="Arial"/>
          <w:color w:val="auto"/>
          <w:sz w:val="20"/>
        </w:rPr>
        <w:t>. Compliance with this requiremen</w:t>
      </w:r>
      <w:r w:rsidR="003A18C7" w:rsidRPr="00451D46">
        <w:rPr>
          <w:rFonts w:ascii="Arial" w:hAnsi="Arial" w:cs="Arial"/>
          <w:color w:val="auto"/>
          <w:sz w:val="20"/>
        </w:rPr>
        <w:t>t will be audited</w:t>
      </w:r>
      <w:r w:rsidR="001625E2" w:rsidRPr="00451D46">
        <w:rPr>
          <w:rFonts w:ascii="Arial" w:hAnsi="Arial" w:cs="Arial"/>
          <w:color w:val="auto"/>
          <w:sz w:val="20"/>
        </w:rPr>
        <w:t xml:space="preserve"> by NCDOR</w:t>
      </w:r>
      <w:r w:rsidR="003A18C7" w:rsidRPr="00451D46">
        <w:rPr>
          <w:rFonts w:ascii="Arial" w:hAnsi="Arial" w:cs="Arial"/>
          <w:color w:val="auto"/>
          <w:sz w:val="20"/>
        </w:rPr>
        <w:t xml:space="preserve"> at random for</w:t>
      </w:r>
      <w:r w:rsidR="007E4449" w:rsidRPr="00451D46">
        <w:rPr>
          <w:rFonts w:ascii="Arial" w:hAnsi="Arial" w:cs="Arial"/>
          <w:color w:val="auto"/>
          <w:sz w:val="20"/>
        </w:rPr>
        <w:t xml:space="preserve"> compliance. </w:t>
      </w:r>
      <w:r w:rsidR="00683D10" w:rsidRPr="00451D46">
        <w:rPr>
          <w:rFonts w:ascii="Arial" w:hAnsi="Arial" w:cs="Arial"/>
          <w:color w:val="auto"/>
          <w:sz w:val="20"/>
        </w:rPr>
        <w:t>I.T. role-based s</w:t>
      </w:r>
      <w:r w:rsidR="007E4449" w:rsidRPr="00451D46">
        <w:rPr>
          <w:rFonts w:ascii="Arial" w:hAnsi="Arial" w:cs="Arial"/>
          <w:color w:val="auto"/>
          <w:sz w:val="20"/>
        </w:rPr>
        <w:t>ecurity training details and role scope can be found in the NCDOR Security Policy Manu</w:t>
      </w:r>
      <w:r w:rsidR="00432956" w:rsidRPr="00451D46">
        <w:rPr>
          <w:rFonts w:ascii="Arial" w:hAnsi="Arial" w:cs="Arial"/>
          <w:color w:val="auto"/>
          <w:sz w:val="20"/>
        </w:rPr>
        <w:t>al - Control AT-3</w:t>
      </w:r>
      <w:r w:rsidR="007E4449" w:rsidRPr="00451D46">
        <w:rPr>
          <w:rFonts w:ascii="Arial" w:hAnsi="Arial" w:cs="Arial"/>
          <w:color w:val="auto"/>
          <w:sz w:val="20"/>
        </w:rPr>
        <w:t>.</w:t>
      </w:r>
    </w:p>
    <w:p w14:paraId="61779449" w14:textId="77777777" w:rsidR="006D2013" w:rsidRPr="00451D46" w:rsidRDefault="006D2013" w:rsidP="0039026A">
      <w:pPr>
        <w:numPr>
          <w:ilvl w:val="0"/>
          <w:numId w:val="2"/>
        </w:numPr>
        <w:spacing w:before="240" w:after="0"/>
        <w:rPr>
          <w:rFonts w:ascii="Arial" w:hAnsi="Arial" w:cs="Arial"/>
          <w:b/>
          <w:color w:val="auto"/>
          <w:sz w:val="20"/>
        </w:rPr>
      </w:pPr>
      <w:r w:rsidRPr="00451D46">
        <w:rPr>
          <w:rFonts w:ascii="Arial" w:hAnsi="Arial" w:cs="Arial"/>
          <w:b/>
          <w:color w:val="auto"/>
          <w:sz w:val="20"/>
        </w:rPr>
        <w:t xml:space="preserve">A copy of NCDOR’s Security Policy Manual can be found at the following link: </w:t>
      </w:r>
    </w:p>
    <w:p w14:paraId="4380ACC8" w14:textId="2CE01E0F" w:rsidR="006B3394" w:rsidRPr="00451D46" w:rsidRDefault="004D6C3D" w:rsidP="0039026A">
      <w:pPr>
        <w:rPr>
          <w:rStyle w:val="Hyperlink"/>
          <w:rFonts w:ascii="Arial" w:hAnsi="Arial" w:cs="Arial"/>
          <w:b/>
          <w:color w:val="0070C0"/>
          <w:sz w:val="16"/>
        </w:rPr>
      </w:pPr>
      <w:r w:rsidRPr="00451D46">
        <w:rPr>
          <w:rStyle w:val="Hyperlink"/>
          <w:rFonts w:ascii="Arial" w:hAnsi="Arial" w:cs="Arial"/>
          <w:b/>
          <w:color w:val="0070C0"/>
          <w:sz w:val="20"/>
          <w:u w:val="none"/>
        </w:rPr>
        <w:tab/>
      </w:r>
      <w:hyperlink r:id="rId6" w:history="1">
        <w:r w:rsidR="00ED7C5B" w:rsidRPr="00451D46">
          <w:rPr>
            <w:rStyle w:val="Hyperlink"/>
            <w:rFonts w:ascii="Arial" w:hAnsi="Arial" w:cs="Arial"/>
            <w:sz w:val="20"/>
          </w:rPr>
          <w:t>https://www.ncdor.gov/documents/dor-security-policy-manual</w:t>
        </w:r>
      </w:hyperlink>
      <w:r w:rsidR="00ED7C5B" w:rsidRPr="00451D46">
        <w:rPr>
          <w:rFonts w:ascii="Arial" w:hAnsi="Arial" w:cs="Arial"/>
          <w:sz w:val="20"/>
        </w:rPr>
        <w:t xml:space="preserve"> </w:t>
      </w:r>
      <w:r w:rsidRPr="00451D46">
        <w:rPr>
          <w:rStyle w:val="Hyperlink"/>
          <w:rFonts w:ascii="Arial" w:hAnsi="Arial" w:cs="Arial"/>
          <w:b/>
          <w:color w:val="0070C0"/>
          <w:sz w:val="16"/>
        </w:rPr>
        <w:t xml:space="preserve"> </w:t>
      </w:r>
    </w:p>
    <w:p w14:paraId="2CEDF1A7" w14:textId="6A18DDF4" w:rsidR="00950756" w:rsidRPr="00451D46" w:rsidRDefault="00950756" w:rsidP="0039026A">
      <w:pPr>
        <w:rPr>
          <w:rStyle w:val="Hyperlink"/>
          <w:rFonts w:ascii="Arial" w:hAnsi="Arial" w:cs="Arial"/>
          <w:b/>
          <w:color w:val="0070C0"/>
          <w:sz w:val="16"/>
        </w:rPr>
      </w:pPr>
    </w:p>
    <w:p w14:paraId="5707CC34" w14:textId="004C37EB" w:rsidR="00077659" w:rsidRPr="00451D46" w:rsidRDefault="00077659">
      <w:pPr>
        <w:spacing w:after="160" w:line="259" w:lineRule="auto"/>
        <w:rPr>
          <w:rStyle w:val="Hyperlink"/>
          <w:rFonts w:ascii="Arial" w:hAnsi="Arial" w:cs="Arial"/>
          <w:b/>
          <w:color w:val="0070C0"/>
          <w:sz w:val="16"/>
        </w:rPr>
      </w:pPr>
      <w:r w:rsidRPr="00451D46">
        <w:rPr>
          <w:rStyle w:val="Hyperlink"/>
          <w:rFonts w:ascii="Arial" w:hAnsi="Arial" w:cs="Arial"/>
          <w:b/>
          <w:color w:val="0070C0"/>
          <w:sz w:val="16"/>
        </w:rPr>
        <w:br w:type="page"/>
      </w:r>
    </w:p>
    <w:p w14:paraId="0709F2E3" w14:textId="77777777" w:rsidR="00077659" w:rsidRPr="00451D46" w:rsidRDefault="00077659" w:rsidP="0039026A">
      <w:pPr>
        <w:rPr>
          <w:rStyle w:val="Hyperlink"/>
          <w:rFonts w:ascii="Arial" w:hAnsi="Arial" w:cs="Arial"/>
          <w:b/>
          <w:color w:val="0070C0"/>
          <w:sz w:val="16"/>
        </w:rPr>
      </w:pPr>
    </w:p>
    <w:p w14:paraId="50EBC75E" w14:textId="77777777" w:rsidR="00077659" w:rsidRPr="00451D46" w:rsidRDefault="00077659" w:rsidP="0039026A">
      <w:pPr>
        <w:rPr>
          <w:rStyle w:val="Hyperlink"/>
          <w:rFonts w:ascii="Arial" w:hAnsi="Arial" w:cs="Arial"/>
          <w:b/>
          <w:color w:val="0070C0"/>
          <w:sz w:val="16"/>
        </w:rPr>
      </w:pPr>
    </w:p>
    <w:p w14:paraId="565257E0" w14:textId="7B5DD973" w:rsidR="00950756" w:rsidRPr="00451D46" w:rsidRDefault="00950756" w:rsidP="0039026A">
      <w:pPr>
        <w:rPr>
          <w:rStyle w:val="IntenseReference"/>
        </w:rPr>
      </w:pPr>
      <w:r w:rsidRPr="00451D46">
        <w:rPr>
          <w:rStyle w:val="IntenseReference"/>
        </w:rPr>
        <w:t xml:space="preserve">Attachment 1.A – </w:t>
      </w:r>
      <w:r w:rsidR="001625E2" w:rsidRPr="00451D46">
        <w:rPr>
          <w:rStyle w:val="IntenseReference"/>
        </w:rPr>
        <w:t xml:space="preserve">Vendor and </w:t>
      </w:r>
      <w:r w:rsidRPr="00451D46">
        <w:rPr>
          <w:rStyle w:val="IntenseReference"/>
        </w:rPr>
        <w:t>Contractor Security Requirements Matrix</w:t>
      </w:r>
    </w:p>
    <w:p w14:paraId="0D781E3F" w14:textId="77777777" w:rsidR="00C01EB4" w:rsidRPr="00451D46" w:rsidRDefault="00C01EB4" w:rsidP="00C01EB4">
      <w:pPr>
        <w:spacing w:after="160" w:line="259" w:lineRule="auto"/>
        <w:rPr>
          <w:rFonts w:asciiTheme="minorHAnsi" w:eastAsiaTheme="minorHAnsi" w:hAnsiTheme="minorHAnsi" w:cstheme="minorBidi"/>
          <w:b/>
          <w:color w:val="auto"/>
          <w:sz w:val="22"/>
          <w:szCs w:val="22"/>
          <w:u w:val="single"/>
        </w:rPr>
      </w:pPr>
      <w:r w:rsidRPr="00451D46">
        <w:rPr>
          <w:rFonts w:asciiTheme="minorHAnsi" w:eastAsiaTheme="minorHAnsi" w:hAnsiTheme="minorHAnsi" w:cstheme="minorBidi"/>
          <w:b/>
          <w:color w:val="auto"/>
          <w:sz w:val="22"/>
          <w:szCs w:val="22"/>
          <w:u w:val="single"/>
        </w:rPr>
        <w:t>NOTE: Read all indicated footnotes carefully as these contain important information</w:t>
      </w:r>
    </w:p>
    <w:tbl>
      <w:tblPr>
        <w:tblStyle w:val="GridTable5Dark-Accent3"/>
        <w:tblW w:w="0" w:type="auto"/>
        <w:tblLook w:val="04A0" w:firstRow="1" w:lastRow="0" w:firstColumn="1" w:lastColumn="0" w:noHBand="0" w:noVBand="1"/>
      </w:tblPr>
      <w:tblGrid>
        <w:gridCol w:w="4053"/>
        <w:gridCol w:w="633"/>
        <w:gridCol w:w="1587"/>
        <w:gridCol w:w="1570"/>
        <w:gridCol w:w="1640"/>
        <w:gridCol w:w="1307"/>
      </w:tblGrid>
      <w:tr w:rsidR="00034AD8" w:rsidRPr="00451D46" w14:paraId="493B88CB" w14:textId="77777777" w:rsidTr="00F93C23">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bottom"/>
          </w:tcPr>
          <w:p w14:paraId="542D015F" w14:textId="77777777" w:rsidR="00C01EB4" w:rsidRPr="00451D46" w:rsidRDefault="00C01EB4" w:rsidP="00C01EB4">
            <w:pPr>
              <w:spacing w:after="0"/>
              <w:jc w:val="center"/>
              <w:rPr>
                <w:rFonts w:asciiTheme="minorHAnsi" w:eastAsiaTheme="minorHAnsi" w:hAnsiTheme="minorHAnsi" w:cstheme="minorBidi"/>
                <w:color w:val="FFFFFF" w:themeColor="background1"/>
                <w:sz w:val="22"/>
                <w:szCs w:val="22"/>
              </w:rPr>
            </w:pPr>
            <w:r w:rsidRPr="00451D46">
              <w:rPr>
                <w:rFonts w:asciiTheme="minorHAnsi" w:eastAsiaTheme="minorHAnsi" w:hAnsiTheme="minorHAnsi" w:cstheme="minorBidi"/>
                <w:color w:val="FFFFFF" w:themeColor="background1"/>
                <w:sz w:val="22"/>
                <w:szCs w:val="22"/>
              </w:rPr>
              <w:t>Level of Access</w:t>
            </w:r>
          </w:p>
        </w:tc>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bottom"/>
          </w:tcPr>
          <w:p w14:paraId="5D9A72FA" w14:textId="77777777" w:rsidR="00C01EB4" w:rsidRPr="00451D46" w:rsidRDefault="00C01EB4" w:rsidP="00C01EB4">
            <w:pPr>
              <w:spacing w:after="0"/>
              <w:jc w:val="cente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Bidi"/>
                <w:color w:val="FFFFFF" w:themeColor="background1"/>
                <w:sz w:val="22"/>
                <w:szCs w:val="22"/>
              </w:rPr>
            </w:pPr>
            <w:r w:rsidRPr="00451D46">
              <w:rPr>
                <w:rFonts w:asciiTheme="minorHAnsi" w:eastAsiaTheme="minorHAnsi" w:hAnsiTheme="minorHAnsi" w:cstheme="minorBidi"/>
                <w:color w:val="FFFFFF" w:themeColor="background1"/>
                <w:sz w:val="22"/>
                <w:szCs w:val="22"/>
              </w:rPr>
              <w:t>NDA</w:t>
            </w:r>
          </w:p>
        </w:tc>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bottom"/>
          </w:tcPr>
          <w:p w14:paraId="0939B604" w14:textId="77777777" w:rsidR="00C01EB4" w:rsidRPr="00451D46" w:rsidRDefault="00C01EB4" w:rsidP="00C01EB4">
            <w:pPr>
              <w:spacing w:after="0"/>
              <w:jc w:val="cente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Bidi"/>
                <w:color w:val="FFFFFF" w:themeColor="background1"/>
                <w:sz w:val="22"/>
                <w:szCs w:val="22"/>
              </w:rPr>
            </w:pPr>
            <w:r w:rsidRPr="00451D46">
              <w:rPr>
                <w:rFonts w:asciiTheme="minorHAnsi" w:eastAsiaTheme="minorHAnsi" w:hAnsiTheme="minorHAnsi" w:cstheme="minorBidi"/>
                <w:color w:val="FFFFFF" w:themeColor="background1"/>
                <w:sz w:val="22"/>
                <w:szCs w:val="22"/>
              </w:rPr>
              <w:t>NCDOR Policy Manual Provided</w:t>
            </w:r>
          </w:p>
        </w:tc>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bottom"/>
          </w:tcPr>
          <w:p w14:paraId="06087F17" w14:textId="77777777" w:rsidR="00C01EB4" w:rsidRPr="00451D46" w:rsidRDefault="00C01EB4" w:rsidP="00C01EB4">
            <w:pPr>
              <w:spacing w:after="0"/>
              <w:jc w:val="cente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Bidi"/>
                <w:color w:val="FFFFFF" w:themeColor="background1"/>
                <w:sz w:val="22"/>
                <w:szCs w:val="22"/>
              </w:rPr>
            </w:pPr>
            <w:r w:rsidRPr="00451D46">
              <w:rPr>
                <w:rFonts w:asciiTheme="minorHAnsi" w:eastAsiaTheme="minorHAnsi" w:hAnsiTheme="minorHAnsi" w:cstheme="minorBidi"/>
                <w:color w:val="FFFFFF" w:themeColor="background1"/>
                <w:sz w:val="22"/>
                <w:szCs w:val="22"/>
              </w:rPr>
              <w:t>*Background Check</w:t>
            </w:r>
          </w:p>
        </w:tc>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bottom"/>
          </w:tcPr>
          <w:p w14:paraId="0F003B59" w14:textId="0064CE0A" w:rsidR="00C01EB4" w:rsidRPr="00451D46" w:rsidRDefault="00C01EB4" w:rsidP="00C01EB4">
            <w:pPr>
              <w:spacing w:after="0"/>
              <w:jc w:val="cente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Bidi"/>
                <w:color w:val="FFFFFF" w:themeColor="background1"/>
                <w:sz w:val="22"/>
                <w:szCs w:val="22"/>
              </w:rPr>
            </w:pPr>
            <w:r w:rsidRPr="00451D46">
              <w:rPr>
                <w:rFonts w:asciiTheme="minorHAnsi" w:eastAsiaTheme="minorHAnsi" w:hAnsiTheme="minorHAnsi" w:cstheme="minorBidi"/>
                <w:color w:val="FFFFFF" w:themeColor="background1"/>
                <w:sz w:val="22"/>
                <w:szCs w:val="22"/>
              </w:rPr>
              <w:t>Security Awareness Training</w:t>
            </w:r>
          </w:p>
        </w:tc>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bottom"/>
          </w:tcPr>
          <w:p w14:paraId="16F17C55" w14:textId="787763CC" w:rsidR="00C01EB4" w:rsidRPr="00451D46" w:rsidRDefault="00F77E8E" w:rsidP="00C01EB4">
            <w:pPr>
              <w:spacing w:after="0"/>
              <w:jc w:val="cente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Bidi"/>
                <w:color w:val="FFFFFF" w:themeColor="background1"/>
                <w:sz w:val="22"/>
                <w:szCs w:val="22"/>
              </w:rPr>
            </w:pPr>
            <w:r w:rsidRPr="00451D46">
              <w:rPr>
                <w:rFonts w:asciiTheme="minorHAnsi" w:eastAsiaTheme="minorHAnsi" w:hAnsiTheme="minorHAnsi" w:cstheme="minorBidi"/>
                <w:color w:val="FFFFFF" w:themeColor="background1"/>
                <w:sz w:val="22"/>
                <w:szCs w:val="22"/>
              </w:rPr>
              <w:t>**</w:t>
            </w:r>
            <w:r w:rsidR="00C01EB4" w:rsidRPr="00451D46">
              <w:rPr>
                <w:rFonts w:asciiTheme="minorHAnsi" w:eastAsiaTheme="minorHAnsi" w:hAnsiTheme="minorHAnsi" w:cstheme="minorBidi"/>
                <w:color w:val="FFFFFF" w:themeColor="background1"/>
                <w:sz w:val="22"/>
                <w:szCs w:val="22"/>
              </w:rPr>
              <w:t>Role-Based Training</w:t>
            </w:r>
          </w:p>
        </w:tc>
      </w:tr>
      <w:tr w:rsidR="00034AD8" w:rsidRPr="00451D46" w14:paraId="23DB972F" w14:textId="77777777" w:rsidTr="00F93C23">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808080" w:themeColor="background1" w:themeShade="80"/>
            </w:tcBorders>
          </w:tcPr>
          <w:p w14:paraId="0BFBAB44" w14:textId="77777777" w:rsidR="00C01EB4" w:rsidRPr="00451D46" w:rsidRDefault="00C01EB4" w:rsidP="00C01EB4">
            <w:pPr>
              <w:spacing w:after="0"/>
              <w:rPr>
                <w:rFonts w:asciiTheme="minorHAnsi" w:eastAsiaTheme="minorHAnsi" w:hAnsiTheme="minorHAnsi" w:cstheme="minorBidi"/>
                <w:color w:val="FFFFFF" w:themeColor="background1"/>
                <w:sz w:val="22"/>
                <w:szCs w:val="22"/>
              </w:rPr>
            </w:pPr>
            <w:r w:rsidRPr="00451D46">
              <w:rPr>
                <w:rFonts w:asciiTheme="minorHAnsi" w:eastAsiaTheme="minorHAnsi" w:hAnsiTheme="minorHAnsi" w:cstheme="minorBidi"/>
                <w:color w:val="FFFFFF" w:themeColor="background1"/>
                <w:sz w:val="22"/>
                <w:szCs w:val="22"/>
                <w:vertAlign w:val="superscript"/>
              </w:rPr>
              <w:t>1</w:t>
            </w:r>
            <w:r w:rsidRPr="00451D46">
              <w:rPr>
                <w:rFonts w:asciiTheme="minorHAnsi" w:eastAsiaTheme="minorHAnsi" w:hAnsiTheme="minorHAnsi" w:cstheme="minorBidi"/>
                <w:color w:val="FFFFFF" w:themeColor="background1"/>
                <w:sz w:val="22"/>
                <w:szCs w:val="22"/>
              </w:rPr>
              <w:t>Escorted access – Must Be Escorted at All Times</w:t>
            </w:r>
          </w:p>
        </w:tc>
        <w:tc>
          <w:tcPr>
            <w:tcW w:w="0" w:type="auto"/>
            <w:tcBorders>
              <w:top w:val="single" w:sz="4" w:space="0" w:color="808080" w:themeColor="background1" w:themeShade="80"/>
            </w:tcBorders>
            <w:vAlign w:val="center"/>
          </w:tcPr>
          <w:p w14:paraId="50E6092C" w14:textId="77777777" w:rsidR="00C01EB4" w:rsidRPr="00451D46" w:rsidRDefault="00C01EB4" w:rsidP="00C01EB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color w:val="auto"/>
                <w:sz w:val="22"/>
                <w:szCs w:val="22"/>
              </w:rPr>
            </w:pPr>
            <w:r w:rsidRPr="00451D46">
              <w:rPr>
                <w:rFonts w:asciiTheme="minorHAnsi" w:eastAsiaTheme="minorHAnsi" w:hAnsiTheme="minorHAnsi" w:cstheme="minorBidi"/>
                <w:color w:val="auto"/>
                <w:sz w:val="22"/>
                <w:szCs w:val="22"/>
              </w:rPr>
              <w:t>YES</w:t>
            </w:r>
          </w:p>
        </w:tc>
        <w:tc>
          <w:tcPr>
            <w:tcW w:w="0" w:type="auto"/>
            <w:tcBorders>
              <w:top w:val="single" w:sz="4" w:space="0" w:color="808080" w:themeColor="background1" w:themeShade="80"/>
            </w:tcBorders>
            <w:vAlign w:val="center"/>
          </w:tcPr>
          <w:p w14:paraId="23FAC30A" w14:textId="77777777" w:rsidR="00C01EB4" w:rsidRPr="00451D46" w:rsidRDefault="00C01EB4" w:rsidP="00C01EB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color w:val="auto"/>
                <w:sz w:val="22"/>
                <w:szCs w:val="22"/>
              </w:rPr>
            </w:pPr>
            <w:r w:rsidRPr="00451D46">
              <w:rPr>
                <w:rFonts w:asciiTheme="minorHAnsi" w:eastAsiaTheme="minorHAnsi" w:hAnsiTheme="minorHAnsi" w:cstheme="minorBidi"/>
                <w:color w:val="auto"/>
                <w:sz w:val="22"/>
                <w:szCs w:val="22"/>
              </w:rPr>
              <w:t>YES</w:t>
            </w:r>
          </w:p>
        </w:tc>
        <w:tc>
          <w:tcPr>
            <w:tcW w:w="0" w:type="auto"/>
            <w:tcBorders>
              <w:top w:val="single" w:sz="4" w:space="0" w:color="808080" w:themeColor="background1" w:themeShade="80"/>
            </w:tcBorders>
            <w:vAlign w:val="center"/>
          </w:tcPr>
          <w:p w14:paraId="6619193E" w14:textId="77777777" w:rsidR="00C01EB4" w:rsidRPr="00451D46" w:rsidRDefault="00C01EB4" w:rsidP="00C01EB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color w:val="auto"/>
                <w:sz w:val="22"/>
                <w:szCs w:val="22"/>
              </w:rPr>
            </w:pPr>
            <w:r w:rsidRPr="00451D46">
              <w:rPr>
                <w:rFonts w:asciiTheme="minorHAnsi" w:eastAsiaTheme="minorHAnsi" w:hAnsiTheme="minorHAnsi" w:cstheme="minorBidi"/>
                <w:color w:val="auto"/>
                <w:sz w:val="22"/>
                <w:szCs w:val="22"/>
              </w:rPr>
              <w:t>NO</w:t>
            </w:r>
          </w:p>
        </w:tc>
        <w:tc>
          <w:tcPr>
            <w:tcW w:w="0" w:type="auto"/>
            <w:tcBorders>
              <w:top w:val="single" w:sz="4" w:space="0" w:color="808080" w:themeColor="background1" w:themeShade="80"/>
            </w:tcBorders>
            <w:vAlign w:val="center"/>
          </w:tcPr>
          <w:p w14:paraId="6BEA4BB8" w14:textId="77777777" w:rsidR="00C01EB4" w:rsidRPr="00451D46" w:rsidRDefault="00C01EB4" w:rsidP="00C01EB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color w:val="auto"/>
                <w:sz w:val="22"/>
                <w:szCs w:val="22"/>
              </w:rPr>
            </w:pPr>
            <w:r w:rsidRPr="00451D46">
              <w:rPr>
                <w:rFonts w:asciiTheme="minorHAnsi" w:eastAsiaTheme="minorHAnsi" w:hAnsiTheme="minorHAnsi" w:cstheme="minorBidi"/>
                <w:color w:val="auto"/>
                <w:sz w:val="22"/>
                <w:szCs w:val="22"/>
              </w:rPr>
              <w:t>NO</w:t>
            </w:r>
          </w:p>
        </w:tc>
        <w:tc>
          <w:tcPr>
            <w:tcW w:w="0" w:type="auto"/>
            <w:tcBorders>
              <w:top w:val="single" w:sz="4" w:space="0" w:color="808080" w:themeColor="background1" w:themeShade="80"/>
            </w:tcBorders>
            <w:vAlign w:val="center"/>
          </w:tcPr>
          <w:p w14:paraId="1667B6C6" w14:textId="77777777" w:rsidR="00C01EB4" w:rsidRPr="00451D46" w:rsidRDefault="00C01EB4" w:rsidP="00C01EB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color w:val="auto"/>
                <w:sz w:val="22"/>
                <w:szCs w:val="22"/>
              </w:rPr>
            </w:pPr>
            <w:r w:rsidRPr="00451D46">
              <w:rPr>
                <w:rFonts w:asciiTheme="minorHAnsi" w:eastAsiaTheme="minorHAnsi" w:hAnsiTheme="minorHAnsi" w:cstheme="minorBidi"/>
                <w:color w:val="auto"/>
                <w:sz w:val="22"/>
                <w:szCs w:val="22"/>
              </w:rPr>
              <w:t>NO</w:t>
            </w:r>
          </w:p>
        </w:tc>
      </w:tr>
      <w:tr w:rsidR="00034AD8" w:rsidRPr="00451D46" w14:paraId="3FB4EC7C" w14:textId="77777777" w:rsidTr="00F93C23">
        <w:trPr>
          <w:trHeight w:val="430"/>
        </w:trPr>
        <w:tc>
          <w:tcPr>
            <w:cnfStyle w:val="001000000000" w:firstRow="0" w:lastRow="0" w:firstColumn="1" w:lastColumn="0" w:oddVBand="0" w:evenVBand="0" w:oddHBand="0" w:evenHBand="0" w:firstRowFirstColumn="0" w:firstRowLastColumn="0" w:lastRowFirstColumn="0" w:lastRowLastColumn="0"/>
            <w:tcW w:w="0" w:type="auto"/>
          </w:tcPr>
          <w:p w14:paraId="3A43A3F7" w14:textId="77777777" w:rsidR="00C01EB4" w:rsidRPr="00451D46" w:rsidRDefault="00C01EB4" w:rsidP="00C01EB4">
            <w:pPr>
              <w:spacing w:after="0"/>
              <w:rPr>
                <w:rFonts w:asciiTheme="minorHAnsi" w:eastAsiaTheme="minorHAnsi" w:hAnsiTheme="minorHAnsi" w:cstheme="minorBidi"/>
                <w:color w:val="FFFFFF" w:themeColor="background1"/>
                <w:sz w:val="22"/>
                <w:szCs w:val="22"/>
              </w:rPr>
            </w:pPr>
            <w:r w:rsidRPr="00451D46">
              <w:rPr>
                <w:rFonts w:asciiTheme="minorHAnsi" w:eastAsiaTheme="minorHAnsi" w:hAnsiTheme="minorHAnsi" w:cstheme="minorBidi"/>
                <w:color w:val="FFFFFF" w:themeColor="background1"/>
                <w:sz w:val="22"/>
                <w:szCs w:val="22"/>
              </w:rPr>
              <w:t>Physical Access – Non-Escorted (Badge Access)</w:t>
            </w:r>
          </w:p>
        </w:tc>
        <w:tc>
          <w:tcPr>
            <w:tcW w:w="0" w:type="auto"/>
            <w:vAlign w:val="center"/>
          </w:tcPr>
          <w:p w14:paraId="4FF615EB" w14:textId="77777777" w:rsidR="00C01EB4" w:rsidRPr="00451D46" w:rsidRDefault="00C01EB4" w:rsidP="00C01EB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auto"/>
                <w:sz w:val="22"/>
                <w:szCs w:val="22"/>
              </w:rPr>
            </w:pPr>
            <w:r w:rsidRPr="00451D46">
              <w:rPr>
                <w:rFonts w:asciiTheme="minorHAnsi" w:eastAsiaTheme="minorHAnsi" w:hAnsiTheme="minorHAnsi" w:cstheme="minorBidi"/>
                <w:color w:val="auto"/>
                <w:sz w:val="22"/>
                <w:szCs w:val="22"/>
              </w:rPr>
              <w:t>YES</w:t>
            </w:r>
          </w:p>
        </w:tc>
        <w:tc>
          <w:tcPr>
            <w:tcW w:w="0" w:type="auto"/>
            <w:vAlign w:val="center"/>
          </w:tcPr>
          <w:p w14:paraId="2EB3B462" w14:textId="77777777" w:rsidR="00C01EB4" w:rsidRPr="00451D46" w:rsidRDefault="00C01EB4" w:rsidP="00C01EB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auto"/>
                <w:sz w:val="22"/>
                <w:szCs w:val="22"/>
              </w:rPr>
            </w:pPr>
            <w:r w:rsidRPr="00451D46">
              <w:rPr>
                <w:rFonts w:asciiTheme="minorHAnsi" w:eastAsiaTheme="minorHAnsi" w:hAnsiTheme="minorHAnsi" w:cstheme="minorBidi"/>
                <w:color w:val="auto"/>
                <w:sz w:val="22"/>
                <w:szCs w:val="22"/>
              </w:rPr>
              <w:t>YES</w:t>
            </w:r>
          </w:p>
        </w:tc>
        <w:tc>
          <w:tcPr>
            <w:tcW w:w="0" w:type="auto"/>
            <w:vAlign w:val="center"/>
          </w:tcPr>
          <w:p w14:paraId="3F1BEF8A" w14:textId="77777777" w:rsidR="00C01EB4" w:rsidRPr="00451D46" w:rsidRDefault="00C01EB4" w:rsidP="00C01EB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auto"/>
                <w:sz w:val="22"/>
                <w:szCs w:val="22"/>
              </w:rPr>
            </w:pPr>
            <w:r w:rsidRPr="00451D46">
              <w:rPr>
                <w:rFonts w:asciiTheme="minorHAnsi" w:eastAsiaTheme="minorHAnsi" w:hAnsiTheme="minorHAnsi" w:cstheme="minorBidi"/>
                <w:color w:val="auto"/>
                <w:sz w:val="22"/>
                <w:szCs w:val="22"/>
              </w:rPr>
              <w:t>YES</w:t>
            </w:r>
          </w:p>
        </w:tc>
        <w:tc>
          <w:tcPr>
            <w:tcW w:w="0" w:type="auto"/>
            <w:vAlign w:val="center"/>
          </w:tcPr>
          <w:p w14:paraId="2DC1561A" w14:textId="77777777" w:rsidR="00C01EB4" w:rsidRPr="00451D46" w:rsidRDefault="00C01EB4" w:rsidP="00C01EB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auto"/>
                <w:sz w:val="22"/>
                <w:szCs w:val="22"/>
              </w:rPr>
            </w:pPr>
            <w:r w:rsidRPr="00451D46">
              <w:rPr>
                <w:rFonts w:asciiTheme="minorHAnsi" w:eastAsiaTheme="minorHAnsi" w:hAnsiTheme="minorHAnsi" w:cstheme="minorBidi"/>
                <w:color w:val="auto"/>
                <w:sz w:val="22"/>
                <w:szCs w:val="22"/>
              </w:rPr>
              <w:t>YES</w:t>
            </w:r>
          </w:p>
        </w:tc>
        <w:tc>
          <w:tcPr>
            <w:tcW w:w="0" w:type="auto"/>
            <w:vAlign w:val="center"/>
          </w:tcPr>
          <w:p w14:paraId="6D10FC88" w14:textId="3D590A9B" w:rsidR="00C01EB4" w:rsidRPr="00451D46" w:rsidRDefault="00983D23" w:rsidP="00C01EB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auto"/>
                <w:sz w:val="22"/>
                <w:szCs w:val="22"/>
              </w:rPr>
            </w:pPr>
            <w:r w:rsidRPr="00451D46">
              <w:rPr>
                <w:rFonts w:asciiTheme="minorHAnsi" w:eastAsiaTheme="minorHAnsi" w:hAnsiTheme="minorHAnsi" w:cstheme="minorBidi"/>
                <w:color w:val="auto"/>
                <w:sz w:val="22"/>
                <w:szCs w:val="22"/>
              </w:rPr>
              <w:t>YES</w:t>
            </w:r>
          </w:p>
        </w:tc>
      </w:tr>
      <w:tr w:rsidR="00034AD8" w:rsidRPr="00451D46" w14:paraId="4D2FAD5B" w14:textId="77777777" w:rsidTr="00F93C23">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0" w:type="auto"/>
          </w:tcPr>
          <w:p w14:paraId="1AE12D49" w14:textId="77777777" w:rsidR="00C01EB4" w:rsidRPr="00451D46" w:rsidRDefault="00C01EB4" w:rsidP="00C01EB4">
            <w:pPr>
              <w:spacing w:after="0"/>
              <w:rPr>
                <w:rFonts w:asciiTheme="minorHAnsi" w:eastAsiaTheme="minorHAnsi" w:hAnsiTheme="minorHAnsi" w:cstheme="minorBidi"/>
                <w:color w:val="FFFFFF" w:themeColor="background1"/>
                <w:sz w:val="22"/>
                <w:szCs w:val="22"/>
              </w:rPr>
            </w:pPr>
            <w:r w:rsidRPr="00451D46">
              <w:rPr>
                <w:rFonts w:asciiTheme="minorHAnsi" w:eastAsiaTheme="minorHAnsi" w:hAnsiTheme="minorHAnsi" w:cstheme="minorBidi"/>
                <w:color w:val="FFFFFF" w:themeColor="background1"/>
                <w:sz w:val="22"/>
                <w:szCs w:val="22"/>
                <w:vertAlign w:val="superscript"/>
              </w:rPr>
              <w:t>2</w:t>
            </w:r>
            <w:r w:rsidRPr="00451D46">
              <w:rPr>
                <w:rFonts w:asciiTheme="minorHAnsi" w:eastAsiaTheme="minorHAnsi" w:hAnsiTheme="minorHAnsi" w:cstheme="minorBidi"/>
                <w:color w:val="FFFFFF" w:themeColor="background1"/>
                <w:sz w:val="22"/>
                <w:szCs w:val="22"/>
              </w:rPr>
              <w:t>Logical Access to NCDOR Data/Systems/Information (Has an Account)</w:t>
            </w:r>
          </w:p>
        </w:tc>
        <w:tc>
          <w:tcPr>
            <w:tcW w:w="0" w:type="auto"/>
            <w:vAlign w:val="center"/>
          </w:tcPr>
          <w:p w14:paraId="4B9313FF" w14:textId="77777777" w:rsidR="00C01EB4" w:rsidRPr="00451D46" w:rsidRDefault="00C01EB4" w:rsidP="00C01EB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color w:val="auto"/>
                <w:sz w:val="22"/>
                <w:szCs w:val="22"/>
              </w:rPr>
            </w:pPr>
            <w:r w:rsidRPr="00451D46">
              <w:rPr>
                <w:rFonts w:asciiTheme="minorHAnsi" w:eastAsiaTheme="minorHAnsi" w:hAnsiTheme="minorHAnsi" w:cstheme="minorBidi"/>
                <w:color w:val="auto"/>
                <w:sz w:val="22"/>
                <w:szCs w:val="22"/>
              </w:rPr>
              <w:t>YES</w:t>
            </w:r>
          </w:p>
        </w:tc>
        <w:tc>
          <w:tcPr>
            <w:tcW w:w="0" w:type="auto"/>
            <w:vAlign w:val="center"/>
          </w:tcPr>
          <w:p w14:paraId="64730C9B" w14:textId="77777777" w:rsidR="00C01EB4" w:rsidRPr="00451D46" w:rsidRDefault="00C01EB4" w:rsidP="00C01EB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color w:val="auto"/>
                <w:sz w:val="22"/>
                <w:szCs w:val="22"/>
              </w:rPr>
            </w:pPr>
            <w:r w:rsidRPr="00451D46">
              <w:rPr>
                <w:rFonts w:asciiTheme="minorHAnsi" w:eastAsiaTheme="minorHAnsi" w:hAnsiTheme="minorHAnsi" w:cstheme="minorBidi"/>
                <w:color w:val="auto"/>
                <w:sz w:val="22"/>
                <w:szCs w:val="22"/>
              </w:rPr>
              <w:t>YES</w:t>
            </w:r>
          </w:p>
        </w:tc>
        <w:tc>
          <w:tcPr>
            <w:tcW w:w="0" w:type="auto"/>
            <w:vAlign w:val="center"/>
          </w:tcPr>
          <w:p w14:paraId="2CB77086" w14:textId="77777777" w:rsidR="00C01EB4" w:rsidRPr="00451D46" w:rsidRDefault="00C01EB4" w:rsidP="00C01EB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color w:val="auto"/>
                <w:sz w:val="22"/>
                <w:szCs w:val="22"/>
              </w:rPr>
            </w:pPr>
            <w:r w:rsidRPr="00451D46">
              <w:rPr>
                <w:rFonts w:asciiTheme="minorHAnsi" w:eastAsiaTheme="minorHAnsi" w:hAnsiTheme="minorHAnsi" w:cstheme="minorBidi"/>
                <w:color w:val="auto"/>
                <w:sz w:val="22"/>
                <w:szCs w:val="22"/>
              </w:rPr>
              <w:t>YES</w:t>
            </w:r>
          </w:p>
        </w:tc>
        <w:tc>
          <w:tcPr>
            <w:tcW w:w="0" w:type="auto"/>
            <w:vAlign w:val="center"/>
          </w:tcPr>
          <w:p w14:paraId="146492D5" w14:textId="77777777" w:rsidR="00C01EB4" w:rsidRPr="00451D46" w:rsidRDefault="00C01EB4" w:rsidP="00C01EB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color w:val="auto"/>
                <w:sz w:val="22"/>
                <w:szCs w:val="22"/>
              </w:rPr>
            </w:pPr>
            <w:r w:rsidRPr="00451D46">
              <w:rPr>
                <w:rFonts w:asciiTheme="minorHAnsi" w:eastAsiaTheme="minorHAnsi" w:hAnsiTheme="minorHAnsi" w:cstheme="minorBidi"/>
                <w:color w:val="auto"/>
                <w:sz w:val="22"/>
                <w:szCs w:val="22"/>
              </w:rPr>
              <w:t>YES</w:t>
            </w:r>
          </w:p>
        </w:tc>
        <w:tc>
          <w:tcPr>
            <w:tcW w:w="0" w:type="auto"/>
            <w:vAlign w:val="center"/>
          </w:tcPr>
          <w:p w14:paraId="7161BA29" w14:textId="383B19E7" w:rsidR="00C01EB4" w:rsidRPr="00451D46" w:rsidRDefault="00034AD8" w:rsidP="00C01EB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color w:val="auto"/>
                <w:sz w:val="22"/>
                <w:szCs w:val="22"/>
              </w:rPr>
            </w:pPr>
            <w:r w:rsidRPr="00451D46">
              <w:rPr>
                <w:rFonts w:asciiTheme="minorHAnsi" w:eastAsiaTheme="minorHAnsi" w:hAnsiTheme="minorHAnsi" w:cstheme="minorBidi"/>
                <w:color w:val="auto"/>
                <w:sz w:val="22"/>
                <w:szCs w:val="22"/>
              </w:rPr>
              <w:t>YES</w:t>
            </w:r>
          </w:p>
        </w:tc>
      </w:tr>
      <w:tr w:rsidR="00034AD8" w:rsidRPr="00451D46" w14:paraId="2F86AD8A" w14:textId="77777777" w:rsidTr="00F93C23">
        <w:trPr>
          <w:trHeight w:val="430"/>
        </w:trPr>
        <w:tc>
          <w:tcPr>
            <w:cnfStyle w:val="001000000000" w:firstRow="0" w:lastRow="0" w:firstColumn="1" w:lastColumn="0" w:oddVBand="0" w:evenVBand="0" w:oddHBand="0" w:evenHBand="0" w:firstRowFirstColumn="0" w:firstRowLastColumn="0" w:lastRowFirstColumn="0" w:lastRowLastColumn="0"/>
            <w:tcW w:w="0" w:type="auto"/>
          </w:tcPr>
          <w:p w14:paraId="391A5CA4" w14:textId="77777777" w:rsidR="00C01EB4" w:rsidRPr="00451D46" w:rsidRDefault="00C01EB4" w:rsidP="00C01EB4">
            <w:pPr>
              <w:spacing w:after="0"/>
              <w:rPr>
                <w:rFonts w:asciiTheme="minorHAnsi" w:eastAsiaTheme="minorHAnsi" w:hAnsiTheme="minorHAnsi" w:cstheme="minorBidi"/>
                <w:color w:val="FFFFFF" w:themeColor="background1"/>
                <w:sz w:val="22"/>
                <w:szCs w:val="22"/>
              </w:rPr>
            </w:pPr>
            <w:r w:rsidRPr="00451D46">
              <w:rPr>
                <w:rFonts w:asciiTheme="minorHAnsi" w:eastAsiaTheme="minorHAnsi" w:hAnsiTheme="minorHAnsi" w:cstheme="minorBidi"/>
                <w:color w:val="FFFFFF" w:themeColor="background1"/>
                <w:sz w:val="22"/>
                <w:szCs w:val="22"/>
                <w:vertAlign w:val="superscript"/>
              </w:rPr>
              <w:t>3</w:t>
            </w:r>
            <w:r w:rsidRPr="00451D46">
              <w:rPr>
                <w:rFonts w:asciiTheme="minorHAnsi" w:eastAsiaTheme="minorHAnsi" w:hAnsiTheme="minorHAnsi" w:cstheme="minorBidi"/>
                <w:color w:val="FFFFFF" w:themeColor="background1"/>
                <w:sz w:val="22"/>
                <w:szCs w:val="22"/>
              </w:rPr>
              <w:t>Logical Access to NCDOR Data/Systems/Information (Does Not Have an Account)</w:t>
            </w:r>
          </w:p>
        </w:tc>
        <w:tc>
          <w:tcPr>
            <w:tcW w:w="0" w:type="auto"/>
            <w:vAlign w:val="center"/>
          </w:tcPr>
          <w:p w14:paraId="4360DE96" w14:textId="77777777" w:rsidR="00C01EB4" w:rsidRPr="00451D46" w:rsidRDefault="00C01EB4" w:rsidP="00C01EB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auto"/>
                <w:sz w:val="22"/>
                <w:szCs w:val="22"/>
              </w:rPr>
            </w:pPr>
            <w:r w:rsidRPr="00451D46">
              <w:rPr>
                <w:rFonts w:asciiTheme="minorHAnsi" w:eastAsiaTheme="minorHAnsi" w:hAnsiTheme="minorHAnsi" w:cstheme="minorBidi"/>
                <w:color w:val="auto"/>
                <w:sz w:val="22"/>
                <w:szCs w:val="22"/>
              </w:rPr>
              <w:t>YES</w:t>
            </w:r>
          </w:p>
        </w:tc>
        <w:tc>
          <w:tcPr>
            <w:tcW w:w="0" w:type="auto"/>
            <w:vAlign w:val="center"/>
          </w:tcPr>
          <w:p w14:paraId="7648069E" w14:textId="77777777" w:rsidR="00C01EB4" w:rsidRPr="00451D46" w:rsidRDefault="00C01EB4" w:rsidP="00C01EB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auto"/>
                <w:sz w:val="22"/>
                <w:szCs w:val="22"/>
              </w:rPr>
            </w:pPr>
            <w:r w:rsidRPr="00451D46">
              <w:rPr>
                <w:rFonts w:asciiTheme="minorHAnsi" w:eastAsiaTheme="minorHAnsi" w:hAnsiTheme="minorHAnsi" w:cstheme="minorBidi"/>
                <w:color w:val="auto"/>
                <w:sz w:val="22"/>
                <w:szCs w:val="22"/>
              </w:rPr>
              <w:t>YES</w:t>
            </w:r>
          </w:p>
        </w:tc>
        <w:tc>
          <w:tcPr>
            <w:tcW w:w="0" w:type="auto"/>
            <w:vAlign w:val="center"/>
          </w:tcPr>
          <w:p w14:paraId="4432CB57" w14:textId="77777777" w:rsidR="00C01EB4" w:rsidRPr="00451D46" w:rsidRDefault="00C01EB4" w:rsidP="00C01EB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auto"/>
                <w:sz w:val="22"/>
                <w:szCs w:val="22"/>
              </w:rPr>
            </w:pPr>
            <w:r w:rsidRPr="00451D46">
              <w:rPr>
                <w:rFonts w:asciiTheme="minorHAnsi" w:eastAsiaTheme="minorHAnsi" w:hAnsiTheme="minorHAnsi" w:cstheme="minorBidi"/>
                <w:color w:val="auto"/>
                <w:sz w:val="22"/>
                <w:szCs w:val="22"/>
              </w:rPr>
              <w:t>NO</w:t>
            </w:r>
          </w:p>
        </w:tc>
        <w:tc>
          <w:tcPr>
            <w:tcW w:w="0" w:type="auto"/>
            <w:vAlign w:val="center"/>
          </w:tcPr>
          <w:p w14:paraId="6BAFB0D4" w14:textId="77777777" w:rsidR="00C01EB4" w:rsidRPr="00451D46" w:rsidRDefault="00C01EB4" w:rsidP="00C01EB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auto"/>
                <w:sz w:val="22"/>
                <w:szCs w:val="22"/>
              </w:rPr>
            </w:pPr>
            <w:r w:rsidRPr="00451D46">
              <w:rPr>
                <w:rFonts w:asciiTheme="minorHAnsi" w:eastAsiaTheme="minorHAnsi" w:hAnsiTheme="minorHAnsi" w:cstheme="minorBidi"/>
                <w:color w:val="auto"/>
                <w:sz w:val="22"/>
                <w:szCs w:val="22"/>
              </w:rPr>
              <w:t>NO</w:t>
            </w:r>
          </w:p>
        </w:tc>
        <w:tc>
          <w:tcPr>
            <w:tcW w:w="0" w:type="auto"/>
            <w:vAlign w:val="center"/>
          </w:tcPr>
          <w:p w14:paraId="4E1FA841" w14:textId="77777777" w:rsidR="00C01EB4" w:rsidRPr="00451D46" w:rsidRDefault="00C01EB4" w:rsidP="00C01EB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auto"/>
                <w:sz w:val="22"/>
                <w:szCs w:val="22"/>
              </w:rPr>
            </w:pPr>
            <w:r w:rsidRPr="00451D46">
              <w:rPr>
                <w:rFonts w:asciiTheme="minorHAnsi" w:eastAsiaTheme="minorHAnsi" w:hAnsiTheme="minorHAnsi" w:cstheme="minorBidi"/>
                <w:color w:val="auto"/>
                <w:sz w:val="22"/>
                <w:szCs w:val="22"/>
              </w:rPr>
              <w:t>NO</w:t>
            </w:r>
          </w:p>
        </w:tc>
      </w:tr>
      <w:tr w:rsidR="00034AD8" w:rsidRPr="00451D46" w14:paraId="13D8C46C" w14:textId="77777777" w:rsidTr="00F93C23">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0" w:type="auto"/>
          </w:tcPr>
          <w:p w14:paraId="24588227" w14:textId="77777777" w:rsidR="00C01EB4" w:rsidRPr="00451D46" w:rsidRDefault="00C01EB4" w:rsidP="00C01EB4">
            <w:pPr>
              <w:spacing w:after="0"/>
              <w:rPr>
                <w:rFonts w:asciiTheme="minorHAnsi" w:eastAsiaTheme="minorHAnsi" w:hAnsiTheme="minorHAnsi" w:cstheme="minorBidi"/>
                <w:color w:val="FFFFFF" w:themeColor="background1"/>
                <w:sz w:val="22"/>
                <w:szCs w:val="22"/>
              </w:rPr>
            </w:pPr>
            <w:r w:rsidRPr="00451D46">
              <w:rPr>
                <w:rFonts w:asciiTheme="minorHAnsi" w:eastAsiaTheme="minorHAnsi" w:hAnsiTheme="minorHAnsi" w:cstheme="minorBidi"/>
                <w:color w:val="FFFFFF" w:themeColor="background1"/>
                <w:sz w:val="22"/>
                <w:szCs w:val="22"/>
                <w:vertAlign w:val="superscript"/>
              </w:rPr>
              <w:t>4</w:t>
            </w:r>
            <w:r w:rsidRPr="00451D46">
              <w:rPr>
                <w:rFonts w:asciiTheme="minorHAnsi" w:eastAsiaTheme="minorHAnsi" w:hAnsiTheme="minorHAnsi" w:cstheme="minorBidi"/>
                <w:color w:val="FFFFFF" w:themeColor="background1"/>
                <w:sz w:val="22"/>
                <w:szCs w:val="22"/>
              </w:rPr>
              <w:t>Offsite Contractor Staff with Physical Access to NCDOR Data/Systems/Information</w:t>
            </w:r>
          </w:p>
        </w:tc>
        <w:tc>
          <w:tcPr>
            <w:tcW w:w="0" w:type="auto"/>
            <w:vAlign w:val="center"/>
          </w:tcPr>
          <w:p w14:paraId="7285DA19" w14:textId="77777777" w:rsidR="00C01EB4" w:rsidRPr="00451D46" w:rsidRDefault="00C01EB4" w:rsidP="00C01EB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color w:val="auto"/>
                <w:sz w:val="22"/>
                <w:szCs w:val="22"/>
              </w:rPr>
            </w:pPr>
            <w:r w:rsidRPr="00451D46">
              <w:rPr>
                <w:rFonts w:asciiTheme="minorHAnsi" w:eastAsiaTheme="minorHAnsi" w:hAnsiTheme="minorHAnsi" w:cstheme="minorBidi"/>
                <w:color w:val="auto"/>
                <w:sz w:val="22"/>
                <w:szCs w:val="22"/>
              </w:rPr>
              <w:t>YES</w:t>
            </w:r>
          </w:p>
        </w:tc>
        <w:tc>
          <w:tcPr>
            <w:tcW w:w="0" w:type="auto"/>
            <w:vAlign w:val="center"/>
          </w:tcPr>
          <w:p w14:paraId="140CD94F" w14:textId="77777777" w:rsidR="00C01EB4" w:rsidRPr="00451D46" w:rsidRDefault="00C01EB4" w:rsidP="00C01EB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color w:val="auto"/>
                <w:sz w:val="22"/>
                <w:szCs w:val="22"/>
              </w:rPr>
            </w:pPr>
            <w:r w:rsidRPr="00451D46">
              <w:rPr>
                <w:rFonts w:asciiTheme="minorHAnsi" w:eastAsiaTheme="minorHAnsi" w:hAnsiTheme="minorHAnsi" w:cstheme="minorBidi"/>
                <w:color w:val="auto"/>
                <w:sz w:val="22"/>
                <w:szCs w:val="22"/>
              </w:rPr>
              <w:t>YES</w:t>
            </w:r>
          </w:p>
        </w:tc>
        <w:tc>
          <w:tcPr>
            <w:tcW w:w="0" w:type="auto"/>
            <w:vAlign w:val="center"/>
          </w:tcPr>
          <w:p w14:paraId="4BF978A6" w14:textId="77777777" w:rsidR="00C01EB4" w:rsidRPr="00451D46" w:rsidRDefault="00C01EB4" w:rsidP="00C01EB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color w:val="auto"/>
                <w:sz w:val="22"/>
                <w:szCs w:val="22"/>
              </w:rPr>
            </w:pPr>
            <w:r w:rsidRPr="00451D46">
              <w:rPr>
                <w:rFonts w:asciiTheme="minorHAnsi" w:eastAsiaTheme="minorHAnsi" w:hAnsiTheme="minorHAnsi" w:cstheme="minorBidi"/>
                <w:color w:val="auto"/>
                <w:sz w:val="22"/>
                <w:szCs w:val="22"/>
              </w:rPr>
              <w:t>YES</w:t>
            </w:r>
          </w:p>
        </w:tc>
        <w:tc>
          <w:tcPr>
            <w:tcW w:w="0" w:type="auto"/>
            <w:vAlign w:val="center"/>
          </w:tcPr>
          <w:p w14:paraId="3C96670D" w14:textId="77777777" w:rsidR="00C01EB4" w:rsidRPr="00451D46" w:rsidRDefault="00C01EB4" w:rsidP="00C01EB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color w:val="auto"/>
                <w:sz w:val="22"/>
                <w:szCs w:val="22"/>
              </w:rPr>
            </w:pPr>
            <w:r w:rsidRPr="00451D46">
              <w:rPr>
                <w:rFonts w:asciiTheme="minorHAnsi" w:eastAsiaTheme="minorHAnsi" w:hAnsiTheme="minorHAnsi" w:cstheme="minorBidi"/>
                <w:color w:val="auto"/>
                <w:sz w:val="22"/>
                <w:szCs w:val="22"/>
              </w:rPr>
              <w:t>YES</w:t>
            </w:r>
          </w:p>
        </w:tc>
        <w:tc>
          <w:tcPr>
            <w:tcW w:w="0" w:type="auto"/>
            <w:vAlign w:val="center"/>
          </w:tcPr>
          <w:p w14:paraId="70FC2307" w14:textId="535CC3CE" w:rsidR="00C01EB4" w:rsidRPr="00451D46" w:rsidRDefault="00C01EB4" w:rsidP="00C01EB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color w:val="auto"/>
                <w:sz w:val="22"/>
                <w:szCs w:val="22"/>
              </w:rPr>
            </w:pPr>
            <w:r w:rsidRPr="00451D46">
              <w:rPr>
                <w:rFonts w:asciiTheme="minorHAnsi" w:eastAsiaTheme="minorHAnsi" w:hAnsiTheme="minorHAnsi" w:cstheme="minorBidi"/>
                <w:color w:val="auto"/>
                <w:sz w:val="22"/>
                <w:szCs w:val="22"/>
              </w:rPr>
              <w:t>YES</w:t>
            </w:r>
          </w:p>
        </w:tc>
      </w:tr>
      <w:tr w:rsidR="00034AD8" w:rsidRPr="00451D46" w14:paraId="62FBC3E6" w14:textId="77777777" w:rsidTr="00F93C23">
        <w:trPr>
          <w:trHeight w:val="430"/>
        </w:trPr>
        <w:tc>
          <w:tcPr>
            <w:cnfStyle w:val="001000000000" w:firstRow="0" w:lastRow="0" w:firstColumn="1" w:lastColumn="0" w:oddVBand="0" w:evenVBand="0" w:oddHBand="0" w:evenHBand="0" w:firstRowFirstColumn="0" w:firstRowLastColumn="0" w:lastRowFirstColumn="0" w:lastRowLastColumn="0"/>
            <w:tcW w:w="0" w:type="auto"/>
          </w:tcPr>
          <w:p w14:paraId="7DF426E4" w14:textId="662F009D" w:rsidR="00C01EB4" w:rsidRPr="00451D46" w:rsidRDefault="00C01EB4" w:rsidP="00C01EB4">
            <w:pPr>
              <w:spacing w:after="0"/>
              <w:rPr>
                <w:rFonts w:asciiTheme="minorHAnsi" w:eastAsiaTheme="minorHAnsi" w:hAnsiTheme="minorHAnsi" w:cstheme="minorBidi"/>
                <w:color w:val="FFFFFF" w:themeColor="background1"/>
                <w:sz w:val="22"/>
                <w:szCs w:val="22"/>
                <w:vertAlign w:val="superscript"/>
              </w:rPr>
            </w:pPr>
            <w:r w:rsidRPr="00451D46">
              <w:rPr>
                <w:rFonts w:asciiTheme="minorHAnsi" w:eastAsiaTheme="minorHAnsi" w:hAnsiTheme="minorHAnsi" w:cstheme="minorBidi"/>
                <w:color w:val="FFFFFF" w:themeColor="background1"/>
                <w:sz w:val="22"/>
                <w:szCs w:val="22"/>
              </w:rPr>
              <w:t xml:space="preserve">Access to </w:t>
            </w:r>
            <w:r w:rsidR="00034AD8" w:rsidRPr="00451D46">
              <w:rPr>
                <w:rFonts w:asciiTheme="minorHAnsi" w:eastAsiaTheme="minorHAnsi" w:hAnsiTheme="minorHAnsi" w:cstheme="minorBidi"/>
                <w:color w:val="FFFFFF" w:themeColor="background1"/>
                <w:sz w:val="22"/>
                <w:szCs w:val="22"/>
              </w:rPr>
              <w:t>Unencrypted Paper or E</w:t>
            </w:r>
            <w:r w:rsidRPr="00451D46">
              <w:rPr>
                <w:rFonts w:asciiTheme="minorHAnsi" w:eastAsiaTheme="minorHAnsi" w:hAnsiTheme="minorHAnsi" w:cstheme="minorBidi"/>
                <w:color w:val="FFFFFF" w:themeColor="background1"/>
                <w:sz w:val="22"/>
                <w:szCs w:val="22"/>
              </w:rPr>
              <w:t>lectronic NCDOR Data</w:t>
            </w:r>
          </w:p>
        </w:tc>
        <w:tc>
          <w:tcPr>
            <w:tcW w:w="0" w:type="auto"/>
            <w:vAlign w:val="center"/>
          </w:tcPr>
          <w:p w14:paraId="1A84F9DB" w14:textId="77777777" w:rsidR="00C01EB4" w:rsidRPr="00451D46" w:rsidRDefault="00C01EB4" w:rsidP="00C01EB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auto"/>
                <w:sz w:val="22"/>
                <w:szCs w:val="22"/>
              </w:rPr>
            </w:pPr>
            <w:r w:rsidRPr="00451D46">
              <w:rPr>
                <w:rFonts w:asciiTheme="minorHAnsi" w:eastAsiaTheme="minorHAnsi" w:hAnsiTheme="minorHAnsi" w:cstheme="minorBidi"/>
                <w:color w:val="auto"/>
                <w:sz w:val="22"/>
                <w:szCs w:val="22"/>
              </w:rPr>
              <w:t>YES</w:t>
            </w:r>
          </w:p>
        </w:tc>
        <w:tc>
          <w:tcPr>
            <w:tcW w:w="0" w:type="auto"/>
            <w:vAlign w:val="center"/>
          </w:tcPr>
          <w:p w14:paraId="7A72184D" w14:textId="77777777" w:rsidR="00C01EB4" w:rsidRPr="00451D46" w:rsidRDefault="00C01EB4" w:rsidP="00C01EB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auto"/>
                <w:sz w:val="22"/>
                <w:szCs w:val="22"/>
              </w:rPr>
            </w:pPr>
            <w:r w:rsidRPr="00451D46">
              <w:rPr>
                <w:rFonts w:asciiTheme="minorHAnsi" w:eastAsiaTheme="minorHAnsi" w:hAnsiTheme="minorHAnsi" w:cstheme="minorBidi"/>
                <w:color w:val="auto"/>
                <w:sz w:val="22"/>
                <w:szCs w:val="22"/>
              </w:rPr>
              <w:t>YES</w:t>
            </w:r>
          </w:p>
        </w:tc>
        <w:tc>
          <w:tcPr>
            <w:tcW w:w="0" w:type="auto"/>
            <w:vAlign w:val="center"/>
          </w:tcPr>
          <w:p w14:paraId="061B48B3" w14:textId="77777777" w:rsidR="00C01EB4" w:rsidRPr="00451D46" w:rsidRDefault="00C01EB4" w:rsidP="00C01EB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auto"/>
                <w:sz w:val="22"/>
                <w:szCs w:val="22"/>
              </w:rPr>
            </w:pPr>
            <w:r w:rsidRPr="00451D46">
              <w:rPr>
                <w:rFonts w:asciiTheme="minorHAnsi" w:eastAsiaTheme="minorHAnsi" w:hAnsiTheme="minorHAnsi" w:cstheme="minorBidi"/>
                <w:color w:val="auto"/>
                <w:sz w:val="22"/>
                <w:szCs w:val="22"/>
              </w:rPr>
              <w:t>YES</w:t>
            </w:r>
          </w:p>
        </w:tc>
        <w:tc>
          <w:tcPr>
            <w:tcW w:w="0" w:type="auto"/>
            <w:vAlign w:val="center"/>
          </w:tcPr>
          <w:p w14:paraId="5FC09EEB" w14:textId="77777777" w:rsidR="00C01EB4" w:rsidRPr="00451D46" w:rsidRDefault="00C01EB4" w:rsidP="00C01EB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auto"/>
                <w:sz w:val="22"/>
                <w:szCs w:val="22"/>
              </w:rPr>
            </w:pPr>
            <w:r w:rsidRPr="00451D46">
              <w:rPr>
                <w:rFonts w:asciiTheme="minorHAnsi" w:eastAsiaTheme="minorHAnsi" w:hAnsiTheme="minorHAnsi" w:cstheme="minorBidi"/>
                <w:color w:val="auto"/>
                <w:sz w:val="22"/>
                <w:szCs w:val="22"/>
              </w:rPr>
              <w:t>YES</w:t>
            </w:r>
          </w:p>
        </w:tc>
        <w:tc>
          <w:tcPr>
            <w:tcW w:w="0" w:type="auto"/>
            <w:vAlign w:val="center"/>
          </w:tcPr>
          <w:p w14:paraId="7B9D776E" w14:textId="3FE134FC" w:rsidR="00C01EB4" w:rsidRPr="00451D46" w:rsidRDefault="00C01EB4" w:rsidP="00C01EB4">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auto"/>
                <w:sz w:val="22"/>
                <w:szCs w:val="22"/>
              </w:rPr>
            </w:pPr>
            <w:r w:rsidRPr="00451D46">
              <w:rPr>
                <w:rFonts w:asciiTheme="minorHAnsi" w:eastAsiaTheme="minorHAnsi" w:hAnsiTheme="minorHAnsi" w:cstheme="minorBidi"/>
                <w:color w:val="auto"/>
                <w:sz w:val="22"/>
                <w:szCs w:val="22"/>
              </w:rPr>
              <w:t>YES</w:t>
            </w:r>
          </w:p>
        </w:tc>
      </w:tr>
      <w:tr w:rsidR="00034AD8" w:rsidRPr="00451D46" w14:paraId="34510480" w14:textId="77777777" w:rsidTr="00F93C23">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0" w:type="auto"/>
          </w:tcPr>
          <w:p w14:paraId="2C8DAAB7" w14:textId="77D85B10" w:rsidR="00034AD8" w:rsidRPr="00451D46" w:rsidRDefault="00D20E16" w:rsidP="00C01EB4">
            <w:pPr>
              <w:spacing w:after="0"/>
              <w:rPr>
                <w:rFonts w:asciiTheme="minorHAnsi" w:eastAsiaTheme="minorHAnsi" w:hAnsiTheme="minorHAnsi" w:cstheme="minorBidi"/>
                <w:color w:val="FFFFFF" w:themeColor="background1"/>
                <w:sz w:val="22"/>
                <w:szCs w:val="22"/>
              </w:rPr>
            </w:pPr>
            <w:r w:rsidRPr="00451D46">
              <w:rPr>
                <w:rFonts w:asciiTheme="minorHAnsi" w:eastAsiaTheme="minorHAnsi" w:hAnsiTheme="minorHAnsi" w:cstheme="minorBidi"/>
                <w:color w:val="FFFFFF" w:themeColor="background1"/>
                <w:sz w:val="22"/>
                <w:szCs w:val="22"/>
                <w:vertAlign w:val="superscript"/>
              </w:rPr>
              <w:t>5</w:t>
            </w:r>
            <w:r w:rsidR="00034AD8" w:rsidRPr="00451D46">
              <w:rPr>
                <w:rFonts w:asciiTheme="minorHAnsi" w:eastAsiaTheme="minorHAnsi" w:hAnsiTheme="minorHAnsi" w:cstheme="minorBidi"/>
                <w:color w:val="FFFFFF" w:themeColor="background1"/>
                <w:sz w:val="22"/>
                <w:szCs w:val="22"/>
              </w:rPr>
              <w:t>Logical Access to Encrypted Data</w:t>
            </w:r>
          </w:p>
        </w:tc>
        <w:tc>
          <w:tcPr>
            <w:tcW w:w="0" w:type="auto"/>
            <w:vAlign w:val="center"/>
          </w:tcPr>
          <w:p w14:paraId="51DAF570" w14:textId="690F42AA" w:rsidR="00034AD8" w:rsidRPr="00451D46" w:rsidRDefault="00CB394D" w:rsidP="00C01EB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color w:val="auto"/>
                <w:sz w:val="22"/>
                <w:szCs w:val="22"/>
              </w:rPr>
            </w:pPr>
            <w:r w:rsidRPr="00451D46">
              <w:rPr>
                <w:rFonts w:asciiTheme="minorHAnsi" w:eastAsiaTheme="minorHAnsi" w:hAnsiTheme="minorHAnsi" w:cstheme="minorBidi"/>
                <w:color w:val="auto"/>
                <w:sz w:val="22"/>
                <w:szCs w:val="22"/>
              </w:rPr>
              <w:t>YES</w:t>
            </w:r>
          </w:p>
        </w:tc>
        <w:tc>
          <w:tcPr>
            <w:tcW w:w="0" w:type="auto"/>
            <w:vAlign w:val="center"/>
          </w:tcPr>
          <w:p w14:paraId="5806A40D" w14:textId="406E1D6E" w:rsidR="00034AD8" w:rsidRPr="00451D46" w:rsidRDefault="00CB394D" w:rsidP="00C01EB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color w:val="auto"/>
                <w:sz w:val="22"/>
                <w:szCs w:val="22"/>
              </w:rPr>
            </w:pPr>
            <w:r w:rsidRPr="00451D46">
              <w:rPr>
                <w:rFonts w:asciiTheme="minorHAnsi" w:eastAsiaTheme="minorHAnsi" w:hAnsiTheme="minorHAnsi" w:cstheme="minorBidi"/>
                <w:color w:val="auto"/>
                <w:sz w:val="22"/>
                <w:szCs w:val="22"/>
              </w:rPr>
              <w:t>YES</w:t>
            </w:r>
          </w:p>
        </w:tc>
        <w:tc>
          <w:tcPr>
            <w:tcW w:w="0" w:type="auto"/>
            <w:vAlign w:val="center"/>
          </w:tcPr>
          <w:p w14:paraId="11D062D0" w14:textId="5155726A" w:rsidR="00034AD8" w:rsidRPr="00451D46" w:rsidRDefault="00CB394D" w:rsidP="00C01EB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color w:val="auto"/>
                <w:sz w:val="22"/>
                <w:szCs w:val="22"/>
              </w:rPr>
            </w:pPr>
            <w:r w:rsidRPr="00451D46">
              <w:rPr>
                <w:rFonts w:asciiTheme="minorHAnsi" w:eastAsiaTheme="minorHAnsi" w:hAnsiTheme="minorHAnsi" w:cstheme="minorBidi"/>
                <w:color w:val="auto"/>
                <w:sz w:val="22"/>
                <w:szCs w:val="22"/>
              </w:rPr>
              <w:t>NO</w:t>
            </w:r>
          </w:p>
        </w:tc>
        <w:tc>
          <w:tcPr>
            <w:tcW w:w="0" w:type="auto"/>
            <w:vAlign w:val="center"/>
          </w:tcPr>
          <w:p w14:paraId="026B821C" w14:textId="3A50B7DF" w:rsidR="00034AD8" w:rsidRPr="00451D46" w:rsidRDefault="00CB394D" w:rsidP="00C01EB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color w:val="auto"/>
                <w:sz w:val="22"/>
                <w:szCs w:val="22"/>
              </w:rPr>
            </w:pPr>
            <w:r w:rsidRPr="00451D46">
              <w:rPr>
                <w:rFonts w:asciiTheme="minorHAnsi" w:eastAsiaTheme="minorHAnsi" w:hAnsiTheme="minorHAnsi" w:cstheme="minorBidi"/>
                <w:color w:val="auto"/>
                <w:sz w:val="22"/>
                <w:szCs w:val="22"/>
              </w:rPr>
              <w:t>NO</w:t>
            </w:r>
          </w:p>
        </w:tc>
        <w:tc>
          <w:tcPr>
            <w:tcW w:w="0" w:type="auto"/>
            <w:vAlign w:val="center"/>
          </w:tcPr>
          <w:p w14:paraId="716B16A7" w14:textId="42528295" w:rsidR="00034AD8" w:rsidRPr="00451D46" w:rsidRDefault="00CB394D" w:rsidP="00C01EB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color w:val="auto"/>
                <w:sz w:val="22"/>
                <w:szCs w:val="22"/>
              </w:rPr>
            </w:pPr>
            <w:r w:rsidRPr="00451D46">
              <w:rPr>
                <w:rFonts w:asciiTheme="minorHAnsi" w:eastAsiaTheme="minorHAnsi" w:hAnsiTheme="minorHAnsi" w:cstheme="minorBidi"/>
                <w:color w:val="auto"/>
                <w:sz w:val="22"/>
                <w:szCs w:val="22"/>
              </w:rPr>
              <w:t>NO</w:t>
            </w:r>
          </w:p>
        </w:tc>
      </w:tr>
    </w:tbl>
    <w:p w14:paraId="6F974204" w14:textId="77777777" w:rsidR="00C01EB4" w:rsidRPr="00451D46" w:rsidRDefault="00C01EB4" w:rsidP="00C01EB4">
      <w:pPr>
        <w:spacing w:after="160" w:line="259" w:lineRule="auto"/>
        <w:rPr>
          <w:rFonts w:asciiTheme="minorHAnsi" w:eastAsiaTheme="minorHAnsi" w:hAnsiTheme="minorHAnsi" w:cstheme="minorBidi"/>
          <w:color w:val="auto"/>
          <w:sz w:val="22"/>
          <w:szCs w:val="22"/>
        </w:rPr>
      </w:pPr>
    </w:p>
    <w:p w14:paraId="18CC9023" w14:textId="6D887BD6" w:rsidR="00C01EB4" w:rsidRPr="00451D46" w:rsidRDefault="00C01EB4" w:rsidP="00C01EB4">
      <w:pPr>
        <w:spacing w:after="160" w:line="259" w:lineRule="auto"/>
        <w:rPr>
          <w:rFonts w:asciiTheme="minorHAnsi" w:eastAsiaTheme="minorHAnsi" w:hAnsiTheme="minorHAnsi" w:cstheme="minorBidi"/>
          <w:color w:val="auto"/>
          <w:sz w:val="22"/>
          <w:szCs w:val="22"/>
        </w:rPr>
      </w:pPr>
      <w:r w:rsidRPr="00451D46">
        <w:rPr>
          <w:rFonts w:asciiTheme="minorHAnsi" w:eastAsiaTheme="minorHAnsi" w:hAnsiTheme="minorHAnsi" w:cstheme="minorBidi"/>
          <w:color w:val="auto"/>
          <w:sz w:val="22"/>
          <w:szCs w:val="22"/>
        </w:rPr>
        <w:t>* Background check requirements</w:t>
      </w:r>
      <w:r w:rsidR="007E6B73" w:rsidRPr="00451D46">
        <w:rPr>
          <w:rFonts w:asciiTheme="minorHAnsi" w:eastAsiaTheme="minorHAnsi" w:hAnsiTheme="minorHAnsi" w:cstheme="minorBidi"/>
          <w:color w:val="auto"/>
          <w:sz w:val="22"/>
          <w:szCs w:val="22"/>
        </w:rPr>
        <w:t xml:space="preserve"> </w:t>
      </w:r>
      <w:r w:rsidRPr="00451D46">
        <w:rPr>
          <w:rFonts w:asciiTheme="minorHAnsi" w:eastAsiaTheme="minorHAnsi" w:hAnsiTheme="minorHAnsi" w:cstheme="minorBidi"/>
          <w:color w:val="auto"/>
          <w:sz w:val="22"/>
          <w:szCs w:val="22"/>
        </w:rPr>
        <w:t>include FBI fingerprinting and criminal background checks. For a full list of requirements, please refer to the NCDOR Security Policy Manual</w:t>
      </w:r>
    </w:p>
    <w:p w14:paraId="0AE212EC" w14:textId="3BB34DDE" w:rsidR="00C01EB4" w:rsidRPr="00451D46" w:rsidRDefault="00F77E8E" w:rsidP="00C01EB4">
      <w:pPr>
        <w:spacing w:after="160" w:line="259" w:lineRule="auto"/>
        <w:rPr>
          <w:rFonts w:asciiTheme="minorHAnsi" w:eastAsiaTheme="minorHAnsi" w:hAnsiTheme="minorHAnsi" w:cstheme="minorBidi"/>
          <w:color w:val="auto"/>
          <w:sz w:val="22"/>
          <w:szCs w:val="22"/>
        </w:rPr>
      </w:pPr>
      <w:r w:rsidRPr="00451D46">
        <w:rPr>
          <w:rFonts w:asciiTheme="minorHAnsi" w:eastAsiaTheme="minorHAnsi" w:hAnsiTheme="minorHAnsi" w:cstheme="minorBidi"/>
          <w:color w:val="auto"/>
          <w:sz w:val="22"/>
          <w:szCs w:val="22"/>
        </w:rPr>
        <w:t>**</w:t>
      </w:r>
      <w:r w:rsidR="00C01EB4" w:rsidRPr="00451D46">
        <w:rPr>
          <w:rFonts w:asciiTheme="minorHAnsi" w:eastAsiaTheme="minorHAnsi" w:hAnsiTheme="minorHAnsi" w:cstheme="minorBidi"/>
          <w:color w:val="auto"/>
          <w:sz w:val="22"/>
          <w:szCs w:val="22"/>
        </w:rPr>
        <w:t xml:space="preserve"> Role-Based Training (RBT) is provided</w:t>
      </w:r>
      <w:r w:rsidR="006F2ADE" w:rsidRPr="00451D46">
        <w:rPr>
          <w:rFonts w:asciiTheme="minorHAnsi" w:eastAsiaTheme="minorHAnsi" w:hAnsiTheme="minorHAnsi" w:cstheme="minorBidi"/>
          <w:color w:val="auto"/>
          <w:sz w:val="22"/>
          <w:szCs w:val="22"/>
        </w:rPr>
        <w:t xml:space="preserve"> by Vendors and/or C</w:t>
      </w:r>
      <w:r w:rsidR="00C01EB4" w:rsidRPr="00451D46">
        <w:rPr>
          <w:rFonts w:asciiTheme="minorHAnsi" w:eastAsiaTheme="minorHAnsi" w:hAnsiTheme="minorHAnsi" w:cstheme="minorBidi"/>
          <w:color w:val="auto"/>
          <w:sz w:val="22"/>
          <w:szCs w:val="22"/>
        </w:rPr>
        <w:t>ontractors</w:t>
      </w:r>
      <w:r w:rsidR="006F2ADE" w:rsidRPr="00451D46">
        <w:rPr>
          <w:rFonts w:asciiTheme="minorHAnsi" w:eastAsiaTheme="minorHAnsi" w:hAnsiTheme="minorHAnsi" w:cstheme="minorBidi"/>
          <w:color w:val="auto"/>
          <w:sz w:val="22"/>
          <w:szCs w:val="22"/>
        </w:rPr>
        <w:t xml:space="preserve">. Role scope is </w:t>
      </w:r>
      <w:r w:rsidR="00C01EB4" w:rsidRPr="00451D46">
        <w:rPr>
          <w:rFonts w:asciiTheme="minorHAnsi" w:eastAsiaTheme="minorHAnsi" w:hAnsiTheme="minorHAnsi" w:cstheme="minorBidi"/>
          <w:color w:val="auto"/>
          <w:sz w:val="22"/>
          <w:szCs w:val="22"/>
        </w:rPr>
        <w:t>defined in the NCDOR Security Policy Manual &gt; AT-3 Role-Based Training &gt; Scope</w:t>
      </w:r>
    </w:p>
    <w:p w14:paraId="1DFCA481" w14:textId="77777777" w:rsidR="00C01EB4" w:rsidRPr="00451D46" w:rsidRDefault="00C01EB4" w:rsidP="00C01EB4">
      <w:pPr>
        <w:rPr>
          <w:rFonts w:asciiTheme="minorHAnsi" w:eastAsiaTheme="minorHAnsi" w:hAnsiTheme="minorHAnsi" w:cstheme="minorBidi"/>
          <w:color w:val="auto"/>
          <w:sz w:val="28"/>
          <w:szCs w:val="28"/>
          <w:vertAlign w:val="superscript"/>
        </w:rPr>
      </w:pPr>
      <w:r w:rsidRPr="00451D46">
        <w:rPr>
          <w:rFonts w:asciiTheme="minorHAnsi" w:eastAsiaTheme="minorHAnsi" w:hAnsiTheme="minorHAnsi" w:cstheme="minorBidi"/>
          <w:color w:val="auto"/>
          <w:sz w:val="28"/>
          <w:szCs w:val="28"/>
          <w:vertAlign w:val="superscript"/>
        </w:rPr>
        <w:t>1. Individuals may utilize NCDOR equipment as long as they will be supervised with the equipment at all times. Unsupervised access to equipment requires a unique account that ties back to the individual and all account requirements listed in this matrix are required.</w:t>
      </w:r>
    </w:p>
    <w:p w14:paraId="003FA842" w14:textId="77777777" w:rsidR="00C01EB4" w:rsidRPr="00451D46" w:rsidRDefault="00C01EB4" w:rsidP="00C01EB4">
      <w:pPr>
        <w:rPr>
          <w:rFonts w:asciiTheme="minorHAnsi" w:eastAsiaTheme="minorHAnsi" w:hAnsiTheme="minorHAnsi" w:cstheme="minorBidi"/>
          <w:color w:val="auto"/>
          <w:sz w:val="28"/>
          <w:szCs w:val="28"/>
          <w:vertAlign w:val="superscript"/>
        </w:rPr>
      </w:pPr>
      <w:r w:rsidRPr="00451D46">
        <w:rPr>
          <w:rFonts w:asciiTheme="minorHAnsi" w:eastAsiaTheme="minorHAnsi" w:hAnsiTheme="minorHAnsi" w:cstheme="minorBidi"/>
          <w:color w:val="auto"/>
          <w:sz w:val="28"/>
          <w:szCs w:val="28"/>
          <w:vertAlign w:val="superscript"/>
        </w:rPr>
        <w:t>2. Accounts must be unique and must tie back to the individual.</w:t>
      </w:r>
    </w:p>
    <w:p w14:paraId="252692B7" w14:textId="3EAD8824" w:rsidR="00C01EB4" w:rsidRPr="00451D46" w:rsidRDefault="00C01EB4" w:rsidP="00C01EB4">
      <w:pPr>
        <w:rPr>
          <w:rFonts w:asciiTheme="minorHAnsi" w:eastAsiaTheme="minorHAnsi" w:hAnsiTheme="minorHAnsi" w:cstheme="minorBidi"/>
          <w:color w:val="auto"/>
          <w:sz w:val="28"/>
          <w:szCs w:val="28"/>
          <w:vertAlign w:val="superscript"/>
        </w:rPr>
      </w:pPr>
      <w:r w:rsidRPr="00451D46">
        <w:rPr>
          <w:rFonts w:asciiTheme="minorHAnsi" w:eastAsiaTheme="minorHAnsi" w:hAnsiTheme="minorHAnsi" w:cstheme="minorBidi"/>
          <w:color w:val="auto"/>
          <w:sz w:val="28"/>
          <w:szCs w:val="28"/>
          <w:vertAlign w:val="superscript"/>
        </w:rPr>
        <w:t xml:space="preserve">3. Applies to </w:t>
      </w:r>
      <w:r w:rsidR="00A65F46" w:rsidRPr="00451D46">
        <w:rPr>
          <w:rFonts w:asciiTheme="minorHAnsi" w:eastAsiaTheme="minorHAnsi" w:hAnsiTheme="minorHAnsi" w:cstheme="minorBidi"/>
          <w:color w:val="auto"/>
          <w:sz w:val="28"/>
          <w:szCs w:val="28"/>
          <w:vertAlign w:val="superscript"/>
        </w:rPr>
        <w:t>individuals</w:t>
      </w:r>
      <w:r w:rsidRPr="00451D46">
        <w:rPr>
          <w:rFonts w:asciiTheme="minorHAnsi" w:eastAsiaTheme="minorHAnsi" w:hAnsiTheme="minorHAnsi" w:cstheme="minorBidi"/>
          <w:color w:val="auto"/>
          <w:sz w:val="28"/>
          <w:szCs w:val="28"/>
          <w:vertAlign w:val="superscript"/>
        </w:rPr>
        <w:t xml:space="preserve"> that will potentially view NCDOR data on screens as part of logical maintenance of systems, but who do not have an account. Data cannot be sent outside of the Agency without</w:t>
      </w:r>
      <w:r w:rsidR="00F77E8E" w:rsidRPr="00451D46">
        <w:rPr>
          <w:rFonts w:asciiTheme="minorHAnsi" w:eastAsiaTheme="minorHAnsi" w:hAnsiTheme="minorHAnsi" w:cstheme="minorBidi"/>
          <w:color w:val="auto"/>
          <w:sz w:val="28"/>
          <w:szCs w:val="28"/>
          <w:vertAlign w:val="superscript"/>
        </w:rPr>
        <w:t xml:space="preserve"> NCDOR</w:t>
      </w:r>
      <w:r w:rsidRPr="00451D46">
        <w:rPr>
          <w:rFonts w:asciiTheme="minorHAnsi" w:eastAsiaTheme="minorHAnsi" w:hAnsiTheme="minorHAnsi" w:cstheme="minorBidi"/>
          <w:color w:val="auto"/>
          <w:sz w:val="28"/>
          <w:szCs w:val="28"/>
          <w:vertAlign w:val="superscript"/>
        </w:rPr>
        <w:t xml:space="preserve"> management approval of the data sent and</w:t>
      </w:r>
      <w:r w:rsidR="00F77E8E" w:rsidRPr="00451D46">
        <w:rPr>
          <w:rFonts w:asciiTheme="minorHAnsi" w:eastAsiaTheme="minorHAnsi" w:hAnsiTheme="minorHAnsi" w:cstheme="minorBidi"/>
          <w:color w:val="auto"/>
          <w:sz w:val="28"/>
          <w:szCs w:val="28"/>
          <w:vertAlign w:val="superscript"/>
        </w:rPr>
        <w:t xml:space="preserve"> NCDOR</w:t>
      </w:r>
      <w:r w:rsidRPr="00451D46">
        <w:rPr>
          <w:rFonts w:asciiTheme="minorHAnsi" w:eastAsiaTheme="minorHAnsi" w:hAnsiTheme="minorHAnsi" w:cstheme="minorBidi"/>
          <w:color w:val="auto"/>
          <w:sz w:val="28"/>
          <w:szCs w:val="28"/>
          <w:vertAlign w:val="superscript"/>
        </w:rPr>
        <w:t xml:space="preserve"> IT Security approval of the method used to send the data. Maintenance activities (including remote maintenance) must be supervised by badged </w:t>
      </w:r>
      <w:r w:rsidR="00F77E8E" w:rsidRPr="00451D46">
        <w:rPr>
          <w:rFonts w:asciiTheme="minorHAnsi" w:eastAsiaTheme="minorHAnsi" w:hAnsiTheme="minorHAnsi" w:cstheme="minorBidi"/>
          <w:color w:val="auto"/>
          <w:sz w:val="28"/>
          <w:szCs w:val="28"/>
          <w:vertAlign w:val="superscript"/>
        </w:rPr>
        <w:t>NC</w:t>
      </w:r>
      <w:r w:rsidRPr="00451D46">
        <w:rPr>
          <w:rFonts w:asciiTheme="minorHAnsi" w:eastAsiaTheme="minorHAnsi" w:hAnsiTheme="minorHAnsi" w:cstheme="minorBidi"/>
          <w:color w:val="auto"/>
          <w:sz w:val="28"/>
          <w:szCs w:val="28"/>
          <w:vertAlign w:val="superscript"/>
        </w:rPr>
        <w:t xml:space="preserve">DOR staff or by a badged </w:t>
      </w:r>
      <w:r w:rsidR="00F77E8E" w:rsidRPr="00451D46">
        <w:rPr>
          <w:rFonts w:asciiTheme="minorHAnsi" w:eastAsiaTheme="minorHAnsi" w:hAnsiTheme="minorHAnsi" w:cstheme="minorBidi"/>
          <w:color w:val="auto"/>
          <w:sz w:val="28"/>
          <w:szCs w:val="28"/>
          <w:vertAlign w:val="superscript"/>
        </w:rPr>
        <w:t xml:space="preserve">NCDOR </w:t>
      </w:r>
      <w:r w:rsidRPr="00451D46">
        <w:rPr>
          <w:rFonts w:asciiTheme="minorHAnsi" w:eastAsiaTheme="minorHAnsi" w:hAnsiTheme="minorHAnsi" w:cstheme="minorBidi"/>
          <w:color w:val="auto"/>
          <w:sz w:val="28"/>
          <w:szCs w:val="28"/>
          <w:vertAlign w:val="superscript"/>
        </w:rPr>
        <w:t>management-approved designee. Any systems used to facilitate remote supervi</w:t>
      </w:r>
      <w:r w:rsidR="00F77E8E" w:rsidRPr="00451D46">
        <w:rPr>
          <w:rFonts w:asciiTheme="minorHAnsi" w:eastAsiaTheme="minorHAnsi" w:hAnsiTheme="minorHAnsi" w:cstheme="minorBidi"/>
          <w:color w:val="auto"/>
          <w:sz w:val="28"/>
          <w:szCs w:val="28"/>
          <w:vertAlign w:val="superscript"/>
        </w:rPr>
        <w:t>sion must be secure and approved by NCDOR IT Security</w:t>
      </w:r>
      <w:r w:rsidRPr="00451D46">
        <w:rPr>
          <w:rFonts w:asciiTheme="minorHAnsi" w:eastAsiaTheme="minorHAnsi" w:hAnsiTheme="minorHAnsi" w:cstheme="minorBidi"/>
          <w:color w:val="auto"/>
          <w:sz w:val="28"/>
          <w:szCs w:val="28"/>
          <w:vertAlign w:val="superscript"/>
        </w:rPr>
        <w:t>.</w:t>
      </w:r>
    </w:p>
    <w:p w14:paraId="53D74CCC" w14:textId="5A6BFB79" w:rsidR="00C01EB4" w:rsidRPr="00451D46" w:rsidRDefault="00C01EB4" w:rsidP="00C01EB4">
      <w:pPr>
        <w:rPr>
          <w:rFonts w:asciiTheme="minorHAnsi" w:eastAsiaTheme="minorHAnsi" w:hAnsiTheme="minorHAnsi" w:cstheme="minorBidi"/>
          <w:color w:val="auto"/>
          <w:sz w:val="28"/>
          <w:szCs w:val="28"/>
          <w:vertAlign w:val="superscript"/>
        </w:rPr>
      </w:pPr>
      <w:r w:rsidRPr="00451D46">
        <w:rPr>
          <w:rFonts w:asciiTheme="minorHAnsi" w:eastAsiaTheme="minorHAnsi" w:hAnsiTheme="minorHAnsi" w:cstheme="minorBidi"/>
          <w:color w:val="auto"/>
          <w:sz w:val="28"/>
          <w:szCs w:val="28"/>
          <w:vertAlign w:val="superscript"/>
        </w:rPr>
        <w:t>4. Access to data is defined for the</w:t>
      </w:r>
      <w:r w:rsidR="00A65F46" w:rsidRPr="00451D46">
        <w:rPr>
          <w:rFonts w:asciiTheme="minorHAnsi" w:eastAsiaTheme="minorHAnsi" w:hAnsiTheme="minorHAnsi" w:cstheme="minorBidi"/>
          <w:color w:val="auto"/>
          <w:sz w:val="28"/>
          <w:szCs w:val="28"/>
          <w:vertAlign w:val="superscript"/>
        </w:rPr>
        <w:t>se purposes</w:t>
      </w:r>
      <w:r w:rsidR="00E11AEE" w:rsidRPr="00451D46">
        <w:rPr>
          <w:rFonts w:asciiTheme="minorHAnsi" w:eastAsiaTheme="minorHAnsi" w:hAnsiTheme="minorHAnsi" w:cstheme="minorBidi"/>
          <w:color w:val="auto"/>
          <w:sz w:val="28"/>
          <w:szCs w:val="28"/>
          <w:vertAlign w:val="superscript"/>
        </w:rPr>
        <w:t xml:space="preserve"> as</w:t>
      </w:r>
      <w:r w:rsidR="00A65F46" w:rsidRPr="00451D46">
        <w:rPr>
          <w:rFonts w:asciiTheme="minorHAnsi" w:eastAsiaTheme="minorHAnsi" w:hAnsiTheme="minorHAnsi" w:cstheme="minorBidi"/>
          <w:color w:val="auto"/>
          <w:sz w:val="28"/>
          <w:szCs w:val="28"/>
          <w:vertAlign w:val="superscript"/>
        </w:rPr>
        <w:t xml:space="preserve"> individuals</w:t>
      </w:r>
      <w:r w:rsidRPr="00451D46">
        <w:rPr>
          <w:rFonts w:asciiTheme="minorHAnsi" w:eastAsiaTheme="minorHAnsi" w:hAnsiTheme="minorHAnsi" w:cstheme="minorBidi"/>
          <w:color w:val="auto"/>
          <w:sz w:val="28"/>
          <w:szCs w:val="28"/>
          <w:vertAlign w:val="superscript"/>
        </w:rPr>
        <w:t xml:space="preserve"> that have access through the first barrier of the two-barrier rule. See IRS Publication 1075</w:t>
      </w:r>
      <w:r w:rsidR="00F77E8E" w:rsidRPr="00451D46">
        <w:rPr>
          <w:rFonts w:asciiTheme="minorHAnsi" w:eastAsiaTheme="minorHAnsi" w:hAnsiTheme="minorHAnsi" w:cstheme="minorBidi"/>
          <w:color w:val="auto"/>
          <w:sz w:val="28"/>
          <w:szCs w:val="28"/>
          <w:vertAlign w:val="superscript"/>
        </w:rPr>
        <w:t xml:space="preserve"> – Minimum Protections Standards</w:t>
      </w:r>
      <w:r w:rsidRPr="00451D46">
        <w:rPr>
          <w:rFonts w:asciiTheme="minorHAnsi" w:eastAsiaTheme="minorHAnsi" w:hAnsiTheme="minorHAnsi" w:cstheme="minorBidi"/>
          <w:color w:val="auto"/>
          <w:sz w:val="28"/>
          <w:szCs w:val="28"/>
          <w:vertAlign w:val="superscript"/>
        </w:rPr>
        <w:t xml:space="preserve"> for more information. </w:t>
      </w:r>
    </w:p>
    <w:p w14:paraId="076E8CD6" w14:textId="344FB69F" w:rsidR="00D20E16" w:rsidRPr="00C01EB4" w:rsidRDefault="00D20E16" w:rsidP="00C01EB4">
      <w:pPr>
        <w:rPr>
          <w:rFonts w:asciiTheme="minorHAnsi" w:eastAsiaTheme="minorHAnsi" w:hAnsiTheme="minorHAnsi" w:cstheme="minorBidi"/>
          <w:color w:val="auto"/>
          <w:sz w:val="28"/>
          <w:szCs w:val="28"/>
          <w:vertAlign w:val="superscript"/>
        </w:rPr>
      </w:pPr>
      <w:r w:rsidRPr="00451D46">
        <w:rPr>
          <w:rFonts w:asciiTheme="minorHAnsi" w:eastAsiaTheme="minorHAnsi" w:hAnsiTheme="minorHAnsi" w:cstheme="minorBidi"/>
          <w:color w:val="auto"/>
          <w:sz w:val="28"/>
          <w:szCs w:val="28"/>
          <w:vertAlign w:val="superscript"/>
        </w:rPr>
        <w:t>5. Encryption methods must be FIPS 140-2 compliant.</w:t>
      </w:r>
      <w:r w:rsidRPr="00C01EB4">
        <w:rPr>
          <w:rFonts w:asciiTheme="minorHAnsi" w:eastAsiaTheme="minorHAnsi" w:hAnsiTheme="minorHAnsi" w:cstheme="minorBidi"/>
          <w:color w:val="auto"/>
          <w:sz w:val="28"/>
          <w:szCs w:val="28"/>
          <w:vertAlign w:val="superscript"/>
        </w:rPr>
        <w:t xml:space="preserve"> </w:t>
      </w:r>
    </w:p>
    <w:p w14:paraId="6D6583B3" w14:textId="77777777" w:rsidR="00C01EB4" w:rsidRPr="00950756" w:rsidRDefault="00C01EB4" w:rsidP="0039026A">
      <w:pPr>
        <w:rPr>
          <w:rStyle w:val="IntenseReference"/>
        </w:rPr>
      </w:pPr>
    </w:p>
    <w:sectPr w:rsidR="00C01EB4" w:rsidRPr="00950756" w:rsidSect="006D201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14E19"/>
    <w:multiLevelType w:val="hybridMultilevel"/>
    <w:tmpl w:val="B3DEE2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E841F16"/>
    <w:multiLevelType w:val="hybridMultilevel"/>
    <w:tmpl w:val="99221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176929"/>
    <w:multiLevelType w:val="multilevel"/>
    <w:tmpl w:val="5CC2F196"/>
    <w:lvl w:ilvl="0">
      <w:start w:val="6"/>
      <w:numFmt w:val="decimal"/>
      <w:pStyle w:val="Heading1"/>
      <w:lvlText w:val=" %1.0"/>
      <w:lvlJc w:val="left"/>
      <w:pPr>
        <w:ind w:left="432" w:hanging="432"/>
      </w:pPr>
      <w:rPr>
        <w:rFonts w:ascii="Arial" w:hAnsi="Arial" w:cs="Times New Roman" w:hint="default"/>
        <w:sz w:val="28"/>
        <w:szCs w:val="28"/>
      </w:rPr>
    </w:lvl>
    <w:lvl w:ilvl="1">
      <w:start w:val="1"/>
      <w:numFmt w:val="decimal"/>
      <w:pStyle w:val="Heading2"/>
      <w:lvlText w:val="6.%2"/>
      <w:lvlJc w:val="left"/>
      <w:pPr>
        <w:ind w:left="576" w:hanging="576"/>
      </w:pPr>
      <w:rPr>
        <w:rFonts w:ascii="Arial" w:hAnsi="Arial"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pStyle w:val="Heading3"/>
      <w:lvlText w:val="%1.%2.%3"/>
      <w:lvlJc w:val="left"/>
      <w:pPr>
        <w:ind w:left="810" w:hanging="720"/>
      </w:pPr>
      <w:rPr>
        <w:rFonts w:cs="Times New Roman" w:hint="default"/>
        <w:b/>
      </w:rPr>
    </w:lvl>
    <w:lvl w:ilvl="3">
      <w:start w:val="1"/>
      <w:numFmt w:val="decimal"/>
      <w:pStyle w:val="Heading4"/>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 w15:restartNumberingAfterBreak="0">
    <w:nsid w:val="634C368C"/>
    <w:multiLevelType w:val="hybridMultilevel"/>
    <w:tmpl w:val="957EB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CB78DB"/>
    <w:multiLevelType w:val="hybridMultilevel"/>
    <w:tmpl w:val="76202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013"/>
    <w:rsid w:val="00011D39"/>
    <w:rsid w:val="00034AD8"/>
    <w:rsid w:val="00074DD5"/>
    <w:rsid w:val="00077659"/>
    <w:rsid w:val="00116800"/>
    <w:rsid w:val="00146A27"/>
    <w:rsid w:val="001625E2"/>
    <w:rsid w:val="001A2F59"/>
    <w:rsid w:val="001B3880"/>
    <w:rsid w:val="001D1EE2"/>
    <w:rsid w:val="001E45CD"/>
    <w:rsid w:val="00216788"/>
    <w:rsid w:val="00267289"/>
    <w:rsid w:val="002823A3"/>
    <w:rsid w:val="002872FA"/>
    <w:rsid w:val="002A06F7"/>
    <w:rsid w:val="002D1626"/>
    <w:rsid w:val="002F7113"/>
    <w:rsid w:val="00305BAB"/>
    <w:rsid w:val="00332B37"/>
    <w:rsid w:val="00374116"/>
    <w:rsid w:val="00384D24"/>
    <w:rsid w:val="0039026A"/>
    <w:rsid w:val="003A18C7"/>
    <w:rsid w:val="003A1E65"/>
    <w:rsid w:val="003B6780"/>
    <w:rsid w:val="003D538D"/>
    <w:rsid w:val="003E1272"/>
    <w:rsid w:val="00427A58"/>
    <w:rsid w:val="00432956"/>
    <w:rsid w:val="00441B88"/>
    <w:rsid w:val="00451D46"/>
    <w:rsid w:val="004614FF"/>
    <w:rsid w:val="00484457"/>
    <w:rsid w:val="0049548B"/>
    <w:rsid w:val="004D6C3D"/>
    <w:rsid w:val="00507293"/>
    <w:rsid w:val="00583BC0"/>
    <w:rsid w:val="005C5894"/>
    <w:rsid w:val="005D0FAC"/>
    <w:rsid w:val="006154ED"/>
    <w:rsid w:val="00624FD7"/>
    <w:rsid w:val="00640F67"/>
    <w:rsid w:val="00646C34"/>
    <w:rsid w:val="00666F1A"/>
    <w:rsid w:val="00677312"/>
    <w:rsid w:val="00683D10"/>
    <w:rsid w:val="006849B8"/>
    <w:rsid w:val="006B50A7"/>
    <w:rsid w:val="006D14B1"/>
    <w:rsid w:val="006D2013"/>
    <w:rsid w:val="006F2ADE"/>
    <w:rsid w:val="007013F5"/>
    <w:rsid w:val="00721B76"/>
    <w:rsid w:val="00735C0C"/>
    <w:rsid w:val="00740D14"/>
    <w:rsid w:val="00745B25"/>
    <w:rsid w:val="00750BED"/>
    <w:rsid w:val="00771BAC"/>
    <w:rsid w:val="00776B52"/>
    <w:rsid w:val="00782835"/>
    <w:rsid w:val="00790110"/>
    <w:rsid w:val="007E07C0"/>
    <w:rsid w:val="007E4449"/>
    <w:rsid w:val="007E6B73"/>
    <w:rsid w:val="00826E1D"/>
    <w:rsid w:val="008320EF"/>
    <w:rsid w:val="00837FA5"/>
    <w:rsid w:val="00840F39"/>
    <w:rsid w:val="009169B3"/>
    <w:rsid w:val="00943A3A"/>
    <w:rsid w:val="00950756"/>
    <w:rsid w:val="0096484C"/>
    <w:rsid w:val="009839A5"/>
    <w:rsid w:val="00983D23"/>
    <w:rsid w:val="009D3FFF"/>
    <w:rsid w:val="009E3A8C"/>
    <w:rsid w:val="009F0C33"/>
    <w:rsid w:val="009F5999"/>
    <w:rsid w:val="00A022D7"/>
    <w:rsid w:val="00A631E9"/>
    <w:rsid w:val="00A65F46"/>
    <w:rsid w:val="00AA2F3D"/>
    <w:rsid w:val="00AA7DDF"/>
    <w:rsid w:val="00AF652C"/>
    <w:rsid w:val="00B007CA"/>
    <w:rsid w:val="00B06A43"/>
    <w:rsid w:val="00B13FE3"/>
    <w:rsid w:val="00B553CB"/>
    <w:rsid w:val="00B612C0"/>
    <w:rsid w:val="00B62ED5"/>
    <w:rsid w:val="00B81331"/>
    <w:rsid w:val="00BB15EB"/>
    <w:rsid w:val="00BB1D15"/>
    <w:rsid w:val="00BC7767"/>
    <w:rsid w:val="00BE3D73"/>
    <w:rsid w:val="00C00475"/>
    <w:rsid w:val="00C01EB4"/>
    <w:rsid w:val="00C02608"/>
    <w:rsid w:val="00C4485B"/>
    <w:rsid w:val="00C73770"/>
    <w:rsid w:val="00CA0C0A"/>
    <w:rsid w:val="00CB394D"/>
    <w:rsid w:val="00CB6F94"/>
    <w:rsid w:val="00CF0D01"/>
    <w:rsid w:val="00D20E16"/>
    <w:rsid w:val="00D44FF3"/>
    <w:rsid w:val="00D504A2"/>
    <w:rsid w:val="00D62CA5"/>
    <w:rsid w:val="00D63251"/>
    <w:rsid w:val="00DB2D44"/>
    <w:rsid w:val="00DB2DA6"/>
    <w:rsid w:val="00DF1C7D"/>
    <w:rsid w:val="00E11AEE"/>
    <w:rsid w:val="00E122D1"/>
    <w:rsid w:val="00E95561"/>
    <w:rsid w:val="00EA3D78"/>
    <w:rsid w:val="00EA7735"/>
    <w:rsid w:val="00ED775E"/>
    <w:rsid w:val="00ED7C5B"/>
    <w:rsid w:val="00F56F31"/>
    <w:rsid w:val="00F64F4F"/>
    <w:rsid w:val="00F70558"/>
    <w:rsid w:val="00F72710"/>
    <w:rsid w:val="00F77E8E"/>
    <w:rsid w:val="00FA3B01"/>
    <w:rsid w:val="00FC5D6B"/>
    <w:rsid w:val="00FD7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7A035"/>
  <w15:chartTrackingRefBased/>
  <w15:docId w15:val="{1AB8FC69-903D-4233-B1A5-73845F95B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D2013"/>
    <w:pPr>
      <w:spacing w:after="120" w:line="240" w:lineRule="auto"/>
    </w:pPr>
    <w:rPr>
      <w:rFonts w:ascii="Times New Roman" w:eastAsia="Calibri" w:hAnsi="Times New Roman" w:cs="Times New Roman"/>
      <w:color w:val="FF0000"/>
      <w:sz w:val="24"/>
      <w:szCs w:val="20"/>
    </w:rPr>
  </w:style>
  <w:style w:type="paragraph" w:styleId="Heading1">
    <w:name w:val="heading 1"/>
    <w:basedOn w:val="Normal"/>
    <w:next w:val="Normal"/>
    <w:link w:val="Heading1Char"/>
    <w:uiPriority w:val="9"/>
    <w:qFormat/>
    <w:rsid w:val="006D2013"/>
    <w:pPr>
      <w:keepNext/>
      <w:numPr>
        <w:numId w:val="1"/>
      </w:numPr>
      <w:pBdr>
        <w:bottom w:val="single" w:sz="4" w:space="1" w:color="002266"/>
      </w:pBdr>
      <w:spacing w:before="240" w:after="60"/>
      <w:outlineLvl w:val="0"/>
    </w:pPr>
    <w:rPr>
      <w:rFonts w:cs="Arial"/>
      <w:b/>
      <w:color w:val="000000"/>
      <w:sz w:val="28"/>
      <w:szCs w:val="24"/>
    </w:rPr>
  </w:style>
  <w:style w:type="paragraph" w:styleId="Heading2">
    <w:name w:val="heading 2"/>
    <w:basedOn w:val="Heading1"/>
    <w:next w:val="Normal"/>
    <w:link w:val="Heading2Char"/>
    <w:uiPriority w:val="9"/>
    <w:qFormat/>
    <w:rsid w:val="006D2013"/>
    <w:pPr>
      <w:numPr>
        <w:ilvl w:val="1"/>
      </w:numPr>
      <w:pBdr>
        <w:bottom w:val="none" w:sz="0" w:space="0" w:color="auto"/>
      </w:pBdr>
      <w:outlineLvl w:val="1"/>
    </w:pPr>
    <w:rPr>
      <w:rFonts w:cs="Times New Roman"/>
    </w:rPr>
  </w:style>
  <w:style w:type="paragraph" w:styleId="Heading3">
    <w:name w:val="heading 3"/>
    <w:basedOn w:val="Heading2"/>
    <w:next w:val="Normal"/>
    <w:link w:val="Heading3Char"/>
    <w:uiPriority w:val="9"/>
    <w:qFormat/>
    <w:rsid w:val="006D2013"/>
    <w:pPr>
      <w:numPr>
        <w:ilvl w:val="2"/>
      </w:numPr>
      <w:outlineLvl w:val="2"/>
    </w:pPr>
    <w:rPr>
      <w:sz w:val="24"/>
    </w:rPr>
  </w:style>
  <w:style w:type="paragraph" w:styleId="Heading4">
    <w:name w:val="heading 4"/>
    <w:basedOn w:val="Heading3"/>
    <w:next w:val="Normal"/>
    <w:link w:val="Heading4Char"/>
    <w:uiPriority w:val="9"/>
    <w:qFormat/>
    <w:rsid w:val="006D2013"/>
    <w:pPr>
      <w:numPr>
        <w:ilvl w:val="3"/>
      </w:numPr>
      <w:tabs>
        <w:tab w:val="left" w:pos="864"/>
      </w:tabs>
      <w:outlineLvl w:val="3"/>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2013"/>
    <w:rPr>
      <w:rFonts w:ascii="Times New Roman" w:eastAsia="Calibri" w:hAnsi="Times New Roman" w:cs="Arial"/>
      <w:b/>
      <w:color w:val="000000"/>
      <w:sz w:val="28"/>
      <w:szCs w:val="24"/>
    </w:rPr>
  </w:style>
  <w:style w:type="character" w:customStyle="1" w:styleId="Heading2Char">
    <w:name w:val="Heading 2 Char"/>
    <w:basedOn w:val="DefaultParagraphFont"/>
    <w:link w:val="Heading2"/>
    <w:uiPriority w:val="9"/>
    <w:rsid w:val="006D2013"/>
    <w:rPr>
      <w:rFonts w:ascii="Times New Roman" w:eastAsia="Calibri" w:hAnsi="Times New Roman" w:cs="Times New Roman"/>
      <w:b/>
      <w:color w:val="000000"/>
      <w:sz w:val="28"/>
      <w:szCs w:val="24"/>
    </w:rPr>
  </w:style>
  <w:style w:type="character" w:customStyle="1" w:styleId="Heading3Char">
    <w:name w:val="Heading 3 Char"/>
    <w:basedOn w:val="DefaultParagraphFont"/>
    <w:link w:val="Heading3"/>
    <w:uiPriority w:val="9"/>
    <w:rsid w:val="006D2013"/>
    <w:rPr>
      <w:rFonts w:ascii="Times New Roman" w:eastAsia="Calibri" w:hAnsi="Times New Roman" w:cs="Times New Roman"/>
      <w:b/>
      <w:color w:val="000000"/>
      <w:sz w:val="24"/>
      <w:szCs w:val="24"/>
    </w:rPr>
  </w:style>
  <w:style w:type="character" w:customStyle="1" w:styleId="Heading4Char">
    <w:name w:val="Heading 4 Char"/>
    <w:basedOn w:val="DefaultParagraphFont"/>
    <w:link w:val="Heading4"/>
    <w:uiPriority w:val="9"/>
    <w:rsid w:val="006D2013"/>
    <w:rPr>
      <w:rFonts w:ascii="Times New Roman" w:eastAsia="Calibri" w:hAnsi="Times New Roman" w:cs="Times New Roman"/>
      <w:b/>
      <w:color w:val="000000"/>
      <w:sz w:val="20"/>
      <w:szCs w:val="24"/>
    </w:rPr>
  </w:style>
  <w:style w:type="character" w:styleId="Hyperlink">
    <w:name w:val="Hyperlink"/>
    <w:uiPriority w:val="99"/>
    <w:rsid w:val="006D2013"/>
    <w:rPr>
      <w:rFonts w:cs="Times New Roman"/>
      <w:color w:val="666666"/>
      <w:u w:val="single"/>
    </w:rPr>
  </w:style>
  <w:style w:type="character" w:styleId="FollowedHyperlink">
    <w:name w:val="FollowedHyperlink"/>
    <w:basedOn w:val="DefaultParagraphFont"/>
    <w:uiPriority w:val="99"/>
    <w:semiHidden/>
    <w:unhideWhenUsed/>
    <w:rsid w:val="009169B3"/>
    <w:rPr>
      <w:color w:val="954F72" w:themeColor="followedHyperlink"/>
      <w:u w:val="single"/>
    </w:rPr>
  </w:style>
  <w:style w:type="paragraph" w:styleId="ListParagraph">
    <w:name w:val="List Paragraph"/>
    <w:basedOn w:val="Normal"/>
    <w:uiPriority w:val="34"/>
    <w:qFormat/>
    <w:rsid w:val="002823A3"/>
    <w:pPr>
      <w:ind w:left="720"/>
      <w:contextualSpacing/>
    </w:pPr>
  </w:style>
  <w:style w:type="character" w:styleId="CommentReference">
    <w:name w:val="annotation reference"/>
    <w:basedOn w:val="DefaultParagraphFont"/>
    <w:uiPriority w:val="99"/>
    <w:semiHidden/>
    <w:unhideWhenUsed/>
    <w:rsid w:val="00646C34"/>
    <w:rPr>
      <w:sz w:val="16"/>
      <w:szCs w:val="16"/>
    </w:rPr>
  </w:style>
  <w:style w:type="paragraph" w:styleId="CommentText">
    <w:name w:val="annotation text"/>
    <w:basedOn w:val="Normal"/>
    <w:link w:val="CommentTextChar"/>
    <w:uiPriority w:val="99"/>
    <w:semiHidden/>
    <w:unhideWhenUsed/>
    <w:rsid w:val="00646C34"/>
    <w:rPr>
      <w:sz w:val="20"/>
    </w:rPr>
  </w:style>
  <w:style w:type="character" w:customStyle="1" w:styleId="CommentTextChar">
    <w:name w:val="Comment Text Char"/>
    <w:basedOn w:val="DefaultParagraphFont"/>
    <w:link w:val="CommentText"/>
    <w:uiPriority w:val="99"/>
    <w:semiHidden/>
    <w:rsid w:val="00646C34"/>
    <w:rPr>
      <w:rFonts w:ascii="Times New Roman" w:eastAsia="Calibri" w:hAnsi="Times New Roman" w:cs="Times New Roman"/>
      <w:color w:val="FF0000"/>
      <w:sz w:val="20"/>
      <w:szCs w:val="20"/>
    </w:rPr>
  </w:style>
  <w:style w:type="paragraph" w:styleId="CommentSubject">
    <w:name w:val="annotation subject"/>
    <w:basedOn w:val="CommentText"/>
    <w:next w:val="CommentText"/>
    <w:link w:val="CommentSubjectChar"/>
    <w:uiPriority w:val="99"/>
    <w:semiHidden/>
    <w:unhideWhenUsed/>
    <w:rsid w:val="00646C34"/>
    <w:rPr>
      <w:b/>
      <w:bCs/>
    </w:rPr>
  </w:style>
  <w:style w:type="character" w:customStyle="1" w:styleId="CommentSubjectChar">
    <w:name w:val="Comment Subject Char"/>
    <w:basedOn w:val="CommentTextChar"/>
    <w:link w:val="CommentSubject"/>
    <w:uiPriority w:val="99"/>
    <w:semiHidden/>
    <w:rsid w:val="00646C34"/>
    <w:rPr>
      <w:rFonts w:ascii="Times New Roman" w:eastAsia="Calibri" w:hAnsi="Times New Roman" w:cs="Times New Roman"/>
      <w:b/>
      <w:bCs/>
      <w:color w:val="FF0000"/>
      <w:sz w:val="20"/>
      <w:szCs w:val="20"/>
    </w:rPr>
  </w:style>
  <w:style w:type="paragraph" w:styleId="BalloonText">
    <w:name w:val="Balloon Text"/>
    <w:basedOn w:val="Normal"/>
    <w:link w:val="BalloonTextChar"/>
    <w:uiPriority w:val="99"/>
    <w:semiHidden/>
    <w:unhideWhenUsed/>
    <w:rsid w:val="00646C3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C34"/>
    <w:rPr>
      <w:rFonts w:ascii="Segoe UI" w:eastAsia="Calibri" w:hAnsi="Segoe UI" w:cs="Segoe UI"/>
      <w:color w:val="FF0000"/>
      <w:sz w:val="18"/>
      <w:szCs w:val="18"/>
    </w:rPr>
  </w:style>
  <w:style w:type="character" w:styleId="IntenseReference">
    <w:name w:val="Intense Reference"/>
    <w:basedOn w:val="DefaultParagraphFont"/>
    <w:uiPriority w:val="32"/>
    <w:qFormat/>
    <w:rsid w:val="00950756"/>
    <w:rPr>
      <w:b/>
      <w:bCs/>
      <w:smallCaps/>
      <w:color w:val="5B9BD5" w:themeColor="accent1"/>
      <w:spacing w:val="5"/>
    </w:rPr>
  </w:style>
  <w:style w:type="table" w:styleId="GridTable5Dark-Accent3">
    <w:name w:val="Grid Table 5 Dark Accent 3"/>
    <w:basedOn w:val="TableNormal"/>
    <w:uiPriority w:val="50"/>
    <w:rsid w:val="00C01EB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028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cdor.gov/documents/dor-security-policy-manua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762</Words>
  <Characters>4346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NCDOR</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A. Hunter</dc:creator>
  <cp:keywords/>
  <dc:description/>
  <cp:lastModifiedBy>Chasity Ashby</cp:lastModifiedBy>
  <cp:revision>3</cp:revision>
  <dcterms:created xsi:type="dcterms:W3CDTF">2020-08-26T18:18:00Z</dcterms:created>
  <dcterms:modified xsi:type="dcterms:W3CDTF">2020-08-26T18:24:00Z</dcterms:modified>
</cp:coreProperties>
</file>